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numPr>
          <w:ilvl w:val="0"/>
          <w:numId w:val="0"/>
        </w:numPr>
        <w:spacing w:line="560" w:lineRule="exact"/>
      </w:pPr>
      <w:bookmarkStart w:id="0" w:name="_Toc225844688"/>
      <w:bookmarkStart w:id="1" w:name="_Toc225844701"/>
      <w:r>
        <w:rPr>
          <w:rFonts w:hint="eastAsia"/>
        </w:rPr>
        <w:t>2</w:t>
      </w:r>
      <w:r>
        <w:t>026</w:t>
      </w:r>
      <w:r>
        <w:rPr>
          <w:rFonts w:hint="eastAsia"/>
        </w:rPr>
        <w:t>年度石家庄市小水库维养（管护部分）</w:t>
      </w:r>
    </w:p>
    <w:p>
      <w:pPr>
        <w:pStyle w:val="3"/>
        <w:numPr>
          <w:numId w:val="0"/>
        </w:numPr>
        <w:spacing w:line="560" w:lineRule="exact"/>
        <w:ind w:leftChars="0"/>
      </w:pPr>
      <w:r>
        <w:rPr>
          <w:rFonts w:hint="eastAsia"/>
          <w:lang w:val="en-US" w:eastAsia="zh-CN"/>
        </w:rPr>
        <w:t>1、</w:t>
      </w:r>
      <w:r>
        <w:rPr>
          <w:rFonts w:hint="eastAsia"/>
        </w:rPr>
        <w:t>巡查</w:t>
      </w:r>
    </w:p>
    <w:p>
      <w:pPr>
        <w:pStyle w:val="3"/>
        <w:numPr>
          <w:numId w:val="0"/>
        </w:numPr>
        <w:spacing w:line="560" w:lineRule="exact"/>
        <w:ind w:leftChars="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1.1</w:t>
      </w:r>
      <w:r>
        <w:rPr>
          <w:rFonts w:hint="eastAsia"/>
        </w:rPr>
        <w:t>巡查</w:t>
      </w:r>
      <w:r>
        <w:rPr>
          <w:rFonts w:hint="eastAsia"/>
          <w:lang w:eastAsia="zh-CN"/>
        </w:rPr>
        <w:t>对象</w:t>
      </w:r>
    </w:p>
    <w:p>
      <w:pPr>
        <w:spacing w:line="560" w:lineRule="exact"/>
        <w:ind w:firstLine="560"/>
        <w:rPr>
          <w:rFonts w:hint="eastAsia"/>
          <w:lang w:eastAsia="zh-CN"/>
        </w:rPr>
      </w:pPr>
      <w:r>
        <w:rPr>
          <w:rFonts w:hint="eastAsia"/>
          <w:lang w:eastAsia="zh-CN"/>
        </w:rPr>
        <w:t>巡</w:t>
      </w:r>
      <w:r>
        <w:rPr>
          <w:rFonts w:hint="eastAsia"/>
        </w:rPr>
        <w:t>查对象包括坝体、坝基、坝区、溢洪道、输水涵（</w:t>
      </w:r>
      <w:r>
        <w:rPr>
          <w:rFonts w:hint="eastAsia"/>
          <w:lang w:eastAsia="zh-CN"/>
        </w:rPr>
        <w:t>隧）洞、</w:t>
      </w:r>
      <w:r>
        <w:rPr>
          <w:rFonts w:hint="eastAsia"/>
        </w:rPr>
        <w:t>闸门及启闭机、库区以及观测、通信、安全防护、管理标志标牌、防汛道路等。检查重点部位是近坝水面上下游坝面、坝脚、输水涵洞进出口、溢洪道及主体工部位。</w:t>
      </w:r>
    </w:p>
    <w:p>
      <w:pPr>
        <w:spacing w:line="560" w:lineRule="exact"/>
        <w:ind w:left="0" w:leftChars="0" w:firstLine="0" w:firstLineChars="0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1.2巡查要求</w:t>
      </w:r>
    </w:p>
    <w:p>
      <w:pPr>
        <w:spacing w:line="560" w:lineRule="exact"/>
        <w:ind w:firstLine="562"/>
        <w:rPr>
          <w:rFonts w:hint="eastAsia"/>
          <w:b/>
          <w:bCs/>
          <w:lang w:val="en-US" w:eastAsia="zh-CN"/>
        </w:rPr>
      </w:pPr>
      <w:r>
        <w:rPr>
          <w:rFonts w:hint="eastAsia"/>
        </w:rPr>
        <w:t>巡查方法和要求应按SL</w:t>
      </w:r>
      <w:r>
        <w:rPr>
          <w:rFonts w:hint="eastAsia"/>
          <w:lang w:val="en-US" w:eastAsia="zh-CN"/>
        </w:rPr>
        <w:t>210</w:t>
      </w:r>
      <w:r>
        <w:rPr>
          <w:rFonts w:hint="eastAsia"/>
        </w:rPr>
        <w:t>和SL</w:t>
      </w:r>
      <w:r>
        <w:rPr>
          <w:rFonts w:hint="eastAsia"/>
          <w:lang w:val="en-US" w:eastAsia="zh-CN"/>
        </w:rPr>
        <w:t>551</w:t>
      </w:r>
      <w:r>
        <w:rPr>
          <w:rFonts w:hint="eastAsia"/>
        </w:rPr>
        <w:t>有关规定执行；</w:t>
      </w:r>
    </w:p>
    <w:p>
      <w:pPr>
        <w:spacing w:line="560" w:lineRule="exact"/>
        <w:ind w:left="0" w:leftChars="0" w:firstLine="0" w:firstLineChars="0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1.3巡查频次</w:t>
      </w:r>
    </w:p>
    <w:p>
      <w:pPr>
        <w:spacing w:line="560" w:lineRule="exact"/>
        <w:ind w:firstLine="560"/>
        <w:rPr>
          <w:rFonts w:hint="eastAsia"/>
          <w:b/>
          <w:bCs/>
          <w:lang w:val="en-US" w:eastAsia="zh-CN"/>
        </w:rPr>
      </w:pPr>
      <w:r>
        <w:rPr>
          <w:rFonts w:hint="eastAsia"/>
        </w:rPr>
        <w:t>巡视检查分为日常巡查、防汛检查和特别检查</w:t>
      </w:r>
      <w:r>
        <w:rPr>
          <w:rFonts w:hint="eastAsia"/>
          <w:lang w:eastAsia="zh-CN"/>
        </w:rPr>
        <w:t>。</w:t>
      </w:r>
    </w:p>
    <w:p>
      <w:pPr>
        <w:spacing w:line="560" w:lineRule="exact"/>
        <w:ind w:firstLine="560"/>
      </w:pPr>
      <w:r>
        <w:rPr>
          <w:rFonts w:hint="eastAsia"/>
        </w:rPr>
        <w:t>日常巡查频次要求，非汛期，不少于</w:t>
      </w:r>
      <w:r>
        <w:t>1</w:t>
      </w:r>
      <w:r>
        <w:rPr>
          <w:rFonts w:hint="eastAsia"/>
        </w:rPr>
        <w:t>次/周，特殊情况</w:t>
      </w:r>
      <w:r>
        <w:rPr>
          <w:rFonts w:hint="eastAsia"/>
          <w:lang w:eastAsia="zh-CN"/>
        </w:rPr>
        <w:t>增加巡查次数</w:t>
      </w:r>
      <w:r>
        <w:rPr>
          <w:rFonts w:hint="eastAsia"/>
        </w:rPr>
        <w:t>；汛期，不少于</w:t>
      </w:r>
      <w:r>
        <w:t>1</w:t>
      </w:r>
      <w:r>
        <w:rPr>
          <w:rFonts w:hint="eastAsia"/>
        </w:rPr>
        <w:t>次/天，特殊情况</w:t>
      </w:r>
      <w:r>
        <w:rPr>
          <w:rFonts w:hint="eastAsia"/>
          <w:lang w:eastAsia="zh-CN"/>
        </w:rPr>
        <w:t>增加巡查次数</w:t>
      </w:r>
      <w:r>
        <w:rPr>
          <w:rFonts w:hint="eastAsia"/>
        </w:rPr>
        <w:t>。</w:t>
      </w:r>
    </w:p>
    <w:p>
      <w:pPr>
        <w:spacing w:line="560" w:lineRule="exact"/>
        <w:ind w:firstLine="560"/>
      </w:pPr>
      <w:r>
        <w:rPr>
          <w:rFonts w:hint="eastAsia"/>
        </w:rPr>
        <w:t>防汛检查于每年汛前、汛中、汛后（年度）各进行1次。</w:t>
      </w:r>
    </w:p>
    <w:p>
      <w:pPr>
        <w:spacing w:line="560" w:lineRule="exact"/>
        <w:ind w:firstLine="560"/>
      </w:pPr>
      <w:r>
        <w:rPr>
          <w:rFonts w:hint="eastAsia"/>
        </w:rPr>
        <w:t>在遭遇地震、大洪水、大坝出现异常以及其他影响工程安全运行的情况下，应及时组织特别检查。</w:t>
      </w:r>
    </w:p>
    <w:p>
      <w:pPr>
        <w:pStyle w:val="3"/>
        <w:numPr>
          <w:numId w:val="0"/>
        </w:numPr>
        <w:spacing w:line="560" w:lineRule="exact"/>
        <w:ind w:leftChars="0"/>
      </w:pPr>
      <w:r>
        <w:rPr>
          <w:rFonts w:hint="eastAsia"/>
          <w:lang w:val="en-US" w:eastAsia="zh-CN"/>
        </w:rPr>
        <w:t>2、</w:t>
      </w:r>
      <w:r>
        <w:t>安全监测</w:t>
      </w:r>
      <w:bookmarkEnd w:id="0"/>
    </w:p>
    <w:p>
      <w:pPr>
        <w:pStyle w:val="4"/>
        <w:numPr>
          <w:numId w:val="0"/>
        </w:numPr>
        <w:spacing w:line="560" w:lineRule="exact"/>
        <w:ind w:leftChars="0"/>
      </w:pPr>
      <w:r>
        <w:rPr>
          <w:rFonts w:hint="eastAsia"/>
          <w:lang w:val="en-US" w:eastAsia="zh-CN"/>
        </w:rPr>
        <w:t>2.1</w:t>
      </w:r>
      <w:r>
        <w:t>一般规定</w:t>
      </w:r>
    </w:p>
    <w:p>
      <w:pPr>
        <w:spacing w:line="560" w:lineRule="exact"/>
        <w:ind w:firstLine="560"/>
      </w:pPr>
      <w:r>
        <w:t>小型水库大坝安全监测</w:t>
      </w:r>
      <w:r>
        <w:rPr>
          <w:rFonts w:hint="eastAsia"/>
          <w:lang w:eastAsia="zh-CN"/>
        </w:rPr>
        <w:t>内容</w:t>
      </w:r>
      <w:r>
        <w:t>为</w:t>
      </w:r>
      <w:r>
        <w:rPr>
          <w:rFonts w:hint="eastAsia"/>
          <w:lang w:eastAsia="zh-CN"/>
        </w:rPr>
        <w:t>：</w:t>
      </w:r>
      <w:r>
        <w:t>环境量监测、</w:t>
      </w:r>
      <w:r>
        <w:rPr>
          <w:rFonts w:hint="eastAsia"/>
        </w:rPr>
        <w:t>视频监控、</w:t>
      </w:r>
      <w:r>
        <w:t>变形监测和渗流监测。</w:t>
      </w:r>
    </w:p>
    <w:p>
      <w:pPr>
        <w:spacing w:line="560" w:lineRule="exact"/>
        <w:ind w:firstLine="560"/>
      </w:pPr>
      <w:bookmarkStart w:id="2" w:name="_GoBack"/>
      <w:bookmarkEnd w:id="2"/>
      <w:r>
        <w:t>做好监测设施设备的日常维护和仪器的校准或检定工作。</w:t>
      </w:r>
      <w:r>
        <w:rPr>
          <w:rFonts w:hint="eastAsia"/>
        </w:rPr>
        <w:t>监测仪器、仪表校准或检定1次/年；水位、雨量监测设施、自动化监测系统维护2次/年；</w:t>
      </w:r>
      <w:r>
        <w:rPr>
          <w:rFonts w:hint="eastAsia"/>
          <w:lang w:eastAsia="zh-CN"/>
        </w:rPr>
        <w:t>并做好监测记录及数据整编分析</w:t>
      </w:r>
      <w:r>
        <w:rPr>
          <w:rFonts w:hint="eastAsia"/>
        </w:rPr>
        <w:t>。</w:t>
      </w:r>
    </w:p>
    <w:p>
      <w:pPr>
        <w:pStyle w:val="4"/>
        <w:numPr>
          <w:numId w:val="0"/>
        </w:numPr>
        <w:spacing w:line="560" w:lineRule="exact"/>
        <w:ind w:leftChars="0"/>
      </w:pPr>
      <w:r>
        <w:rPr>
          <w:rFonts w:hint="eastAsia"/>
          <w:lang w:val="en-US" w:eastAsia="zh-CN"/>
        </w:rPr>
        <w:t>2.2</w:t>
      </w:r>
      <w:r>
        <w:rPr>
          <w:rFonts w:hint="eastAsia"/>
        </w:rPr>
        <w:t>监测要求</w:t>
      </w:r>
    </w:p>
    <w:p>
      <w:pPr>
        <w:spacing w:line="560" w:lineRule="exact"/>
        <w:ind w:firstLine="562"/>
        <w:rPr>
          <w:rFonts w:hint="eastAsia"/>
        </w:rPr>
      </w:pPr>
      <w:r>
        <w:rPr>
          <w:rFonts w:hint="eastAsia"/>
        </w:rPr>
        <w:t>监测方法和要求应按SL551和SL601有关规定执行；</w:t>
      </w:r>
    </w:p>
    <w:p>
      <w:pPr>
        <w:spacing w:line="560" w:lineRule="exact"/>
        <w:ind w:left="0" w:leftChars="0" w:firstLine="0" w:firstLineChars="0"/>
        <w:rPr>
          <w:rFonts w:hint="eastAsia" w:eastAsia="宋体"/>
          <w:lang w:val="en-US" w:eastAsia="zh-CN"/>
        </w:rPr>
      </w:pPr>
      <w:r>
        <w:rPr>
          <w:rFonts w:hint="eastAsia"/>
          <w:b/>
          <w:bCs/>
          <w:lang w:val="en-US" w:eastAsia="zh-CN"/>
        </w:rPr>
        <w:t>2.3</w:t>
      </w:r>
      <w:r>
        <w:rPr>
          <w:rFonts w:hint="eastAsia"/>
          <w:b/>
          <w:bCs/>
        </w:rPr>
        <w:t>监测频次</w:t>
      </w:r>
    </w:p>
    <w:p>
      <w:pPr>
        <w:spacing w:line="560" w:lineRule="exact"/>
        <w:ind w:firstLine="562"/>
      </w:pPr>
      <w:r>
        <w:rPr>
          <w:rFonts w:hint="eastAsia"/>
          <w:b/>
          <w:bCs/>
          <w:lang w:eastAsia="zh-CN"/>
        </w:rPr>
        <w:t>库水位和降雨量</w:t>
      </w:r>
      <w:r>
        <w:rPr>
          <w:rFonts w:hint="eastAsia"/>
          <w:b/>
          <w:bCs/>
        </w:rPr>
        <w:t>监测频次，</w:t>
      </w:r>
      <w:r>
        <w:rPr>
          <w:rFonts w:hint="eastAsia"/>
        </w:rPr>
        <w:t>库水位，汛期，1次/天；非汛期，2次/周。降雨量，汛期，1次/天；非汛期，</w:t>
      </w:r>
      <w:r>
        <w:t>1</w:t>
      </w:r>
      <w:r>
        <w:rPr>
          <w:rFonts w:hint="eastAsia"/>
        </w:rPr>
        <w:t>次/周。</w:t>
      </w:r>
    </w:p>
    <w:p>
      <w:pPr>
        <w:spacing w:line="560" w:lineRule="exact"/>
        <w:ind w:firstLine="562"/>
      </w:pPr>
      <w:r>
        <w:rPr>
          <w:rFonts w:hint="eastAsia"/>
          <w:b/>
          <w:bCs/>
        </w:rPr>
        <w:t>变形和渗流监测频次，</w:t>
      </w:r>
      <w:r>
        <w:rPr>
          <w:rFonts w:hint="eastAsia"/>
        </w:rPr>
        <w:t>渗流量，</w:t>
      </w:r>
      <w:r>
        <w:t>1</w:t>
      </w:r>
      <w:r>
        <w:rPr>
          <w:rFonts w:hint="eastAsia"/>
        </w:rPr>
        <w:t>次/周；测压管水位，</w:t>
      </w:r>
      <w:r>
        <w:t>1</w:t>
      </w:r>
      <w:r>
        <w:rPr>
          <w:rFonts w:hint="eastAsia"/>
        </w:rPr>
        <w:t>次/周；坝体变形</w:t>
      </w:r>
      <w:r>
        <w:rPr>
          <w:rFonts w:hint="eastAsia"/>
          <w:lang w:eastAsia="zh-CN"/>
        </w:rPr>
        <w:t>，</w:t>
      </w:r>
      <w:r>
        <w:t>1</w:t>
      </w:r>
      <w:r>
        <w:rPr>
          <w:rFonts w:hint="eastAsia"/>
        </w:rPr>
        <w:t>次/</w:t>
      </w:r>
      <w:r>
        <w:t>3</w:t>
      </w:r>
      <w:r>
        <w:rPr>
          <w:rFonts w:hint="eastAsia"/>
        </w:rPr>
        <w:t>月。</w:t>
      </w:r>
    </w:p>
    <w:p>
      <w:pPr>
        <w:spacing w:line="560" w:lineRule="exact"/>
        <w:ind w:firstLine="560"/>
      </w:pPr>
      <w:r>
        <w:rPr>
          <w:rFonts w:hint="eastAsia"/>
        </w:rPr>
        <w:t>小水库监测，已实现自动化的采用全自动化监测，数据自动上传平台；未实现自动化的采用人工监测，并及时上传平台。</w:t>
      </w:r>
    </w:p>
    <w:p>
      <w:pPr>
        <w:pStyle w:val="3"/>
        <w:numPr>
          <w:numId w:val="0"/>
        </w:numPr>
        <w:spacing w:line="560" w:lineRule="exact"/>
        <w:ind w:leftChars="0"/>
      </w:pPr>
      <w:r>
        <w:rPr>
          <w:rFonts w:hint="eastAsia"/>
          <w:lang w:val="en-US" w:eastAsia="zh-CN"/>
        </w:rPr>
        <w:t>3、</w:t>
      </w:r>
      <w:r>
        <w:rPr>
          <w:rFonts w:hint="eastAsia"/>
        </w:rPr>
        <w:t>工程管护</w:t>
      </w:r>
    </w:p>
    <w:p>
      <w:pPr>
        <w:spacing w:line="560" w:lineRule="exact"/>
        <w:ind w:firstLine="560"/>
        <w:rPr>
          <w:rFonts w:hint="eastAsia"/>
        </w:rPr>
      </w:pPr>
      <w:r>
        <w:rPr>
          <w:rFonts w:hint="eastAsia"/>
        </w:rPr>
        <w:t>小水库工程管护应坚持“经常养护、随时维修、养重于修、修重于抢”的基本原则。</w:t>
      </w:r>
    </w:p>
    <w:p>
      <w:pPr>
        <w:spacing w:line="560" w:lineRule="exact"/>
        <w:ind w:firstLine="560"/>
      </w:pPr>
      <w:r>
        <w:rPr>
          <w:rFonts w:hint="eastAsia"/>
        </w:rPr>
        <w:t>养护方法按SL210</w:t>
      </w:r>
      <w:r>
        <w:rPr>
          <w:rFonts w:hint="eastAsia"/>
          <w:lang w:val="en-US" w:eastAsia="zh-CN"/>
        </w:rPr>
        <w:t>、</w:t>
      </w:r>
      <w:r>
        <w:rPr>
          <w:rFonts w:hint="eastAsia"/>
        </w:rPr>
        <w:t>SL230</w:t>
      </w:r>
      <w:r>
        <w:rPr>
          <w:rFonts w:hint="eastAsia"/>
          <w:lang w:eastAsia="zh-CN"/>
        </w:rPr>
        <w:t>、</w:t>
      </w:r>
      <w:r>
        <w:rPr>
          <w:rFonts w:hint="eastAsia"/>
          <w:lang w:val="en-US" w:eastAsia="zh-CN"/>
        </w:rPr>
        <w:t>SL75</w:t>
      </w:r>
      <w:r>
        <w:rPr>
          <w:rFonts w:hint="eastAsia"/>
        </w:rPr>
        <w:t>执行。</w:t>
      </w:r>
    </w:p>
    <w:p>
      <w:pPr>
        <w:spacing w:line="560" w:lineRule="exact"/>
        <w:ind w:firstLine="560"/>
      </w:pPr>
      <w:r>
        <w:rPr>
          <w:rFonts w:hint="eastAsia"/>
          <w:lang w:eastAsia="zh-CN"/>
        </w:rPr>
        <w:t>管</w:t>
      </w:r>
      <w:r>
        <w:rPr>
          <w:rFonts w:hint="eastAsia"/>
        </w:rPr>
        <w:t>护范围包括坝顶、坝坡、坝基与坝端岸坡、伸缩缝和变形缝、止水与排水设施和泄、输水</w:t>
      </w:r>
      <w:r>
        <w:rPr>
          <w:rFonts w:hint="eastAsia"/>
          <w:lang w:eastAsia="zh-CN"/>
        </w:rPr>
        <w:t>涵洞（管）、溢洪道、白蚁防治</w:t>
      </w:r>
      <w:r>
        <w:rPr>
          <w:rFonts w:hint="eastAsia"/>
        </w:rPr>
        <w:t>等。</w:t>
      </w:r>
    </w:p>
    <w:p>
      <w:pPr>
        <w:pStyle w:val="3"/>
        <w:numPr>
          <w:numId w:val="0"/>
        </w:numPr>
        <w:spacing w:line="560" w:lineRule="exact"/>
        <w:ind w:leftChars="0"/>
      </w:pPr>
      <w:r>
        <w:rPr>
          <w:rFonts w:hint="eastAsia"/>
          <w:lang w:val="en-US" w:eastAsia="zh-CN"/>
        </w:rPr>
        <w:t>4、</w:t>
      </w:r>
      <w:r>
        <w:rPr>
          <w:rFonts w:hint="eastAsia"/>
        </w:rPr>
        <w:t>档案管理</w:t>
      </w:r>
    </w:p>
    <w:p>
      <w:pPr>
        <w:spacing w:line="560" w:lineRule="exact"/>
        <w:ind w:firstLine="560"/>
      </w:pPr>
      <w:r>
        <w:rPr>
          <w:rFonts w:hint="eastAsia"/>
        </w:rPr>
        <w:t>小水库档案管理严格</w:t>
      </w:r>
      <w:r>
        <w:rPr>
          <w:rFonts w:hint="eastAsia"/>
          <w:lang w:eastAsia="zh-CN"/>
        </w:rPr>
        <w:t>按照</w:t>
      </w:r>
      <w:r>
        <w:rPr>
          <w:rFonts w:hint="eastAsia"/>
        </w:rPr>
        <w:t>规定执行。</w:t>
      </w:r>
    </w:p>
    <w:p>
      <w:pPr>
        <w:ind w:firstLine="560"/>
      </w:pPr>
    </w:p>
    <w:p>
      <w:pPr>
        <w:ind w:firstLine="560"/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ind w:firstLine="560"/>
      </w:pPr>
    </w:p>
    <w:p>
      <w:pPr>
        <w:pStyle w:val="3"/>
      </w:pPr>
      <w:r>
        <w:rPr>
          <w:rFonts w:hint="eastAsia"/>
        </w:rPr>
        <w:t>工程</w:t>
      </w:r>
      <w:bookmarkEnd w:id="1"/>
      <w:r>
        <w:rPr>
          <w:rFonts w:hint="eastAsia"/>
        </w:rPr>
        <w:t>量</w:t>
      </w:r>
    </w:p>
    <w:p>
      <w:pPr>
        <w:pStyle w:val="4"/>
      </w:pPr>
      <w:r>
        <w:rPr>
          <w:rFonts w:hint="eastAsia"/>
        </w:rPr>
        <w:t>韩家园水库</w:t>
      </w:r>
    </w:p>
    <w:p>
      <w:pPr>
        <w:pStyle w:val="59"/>
      </w:pPr>
      <w:r>
        <w:rPr>
          <w:rFonts w:hint="eastAsia"/>
        </w:rPr>
        <w:t>韩家园水库运行管护部分工程量</w:t>
      </w:r>
    </w:p>
    <w:tbl>
      <w:tblPr>
        <w:tblStyle w:val="36"/>
        <w:tblW w:w="829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5155"/>
        <w:gridCol w:w="1180"/>
        <w:gridCol w:w="118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</w:p>
        </w:tc>
        <w:tc>
          <w:tcPr>
            <w:tcW w:w="5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  <w:r>
              <w:rPr>
                <w:rFonts w:hint="eastAsia"/>
              </w:rPr>
              <w:t>管护部分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  <w:r>
              <w:rPr>
                <w:rFonts w:hint="eastAsia"/>
              </w:rPr>
              <w:t>单位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  <w:r>
              <w:rPr>
                <w:rFonts w:hint="eastAsia"/>
              </w:rPr>
              <w:t>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  <w:r>
              <w:rPr>
                <w:rFonts w:hint="eastAsia"/>
              </w:rPr>
              <w:t>一</w:t>
            </w:r>
          </w:p>
        </w:tc>
        <w:tc>
          <w:tcPr>
            <w:tcW w:w="5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  <w:r>
              <w:rPr>
                <w:rFonts w:hint="eastAsia"/>
              </w:rPr>
              <w:t>工程管护（管护、垃圾等）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  <w:r>
              <w:rPr>
                <w:rFonts w:hint="eastAsia"/>
              </w:rPr>
              <w:t>1</w:t>
            </w:r>
          </w:p>
        </w:tc>
        <w:tc>
          <w:tcPr>
            <w:tcW w:w="5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  <w:r>
              <w:rPr>
                <w:rFonts w:hint="eastAsia"/>
              </w:rPr>
              <w:t>硬化基层管护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  <w:r>
              <w:rPr>
                <w:rFonts w:hint="eastAsia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adjustRightInd w:val="0"/>
              <w:snapToGrid w:val="0"/>
            </w:pPr>
            <w:r>
              <w:rPr>
                <w:rFonts w:hint="eastAsia"/>
              </w:rPr>
              <w:t>5</w:t>
            </w:r>
          </w:p>
        </w:tc>
      </w:tr>
    </w:tbl>
    <w:p>
      <w:pPr>
        <w:pStyle w:val="4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4"/>
      </w:pPr>
      <w:r>
        <w:rPr>
          <w:rFonts w:hint="eastAsia"/>
        </w:rPr>
        <w:t>行唐县</w:t>
      </w:r>
    </w:p>
    <w:p>
      <w:pPr>
        <w:pStyle w:val="59"/>
      </w:pPr>
      <w:r>
        <w:rPr>
          <w:rFonts w:hint="eastAsia"/>
        </w:rPr>
        <w:t>行唐县水库运行管护部分工程量</w:t>
      </w:r>
    </w:p>
    <w:tbl>
      <w:tblPr>
        <w:tblStyle w:val="36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1"/>
        <w:gridCol w:w="4827"/>
        <w:gridCol w:w="1267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序号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</w:p>
        </w:tc>
        <w:tc>
          <w:tcPr>
            <w:tcW w:w="14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</w:p>
        </w:tc>
        <w:tc>
          <w:tcPr>
            <w:tcW w:w="14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29000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669600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3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</w:p>
        </w:tc>
        <w:tc>
          <w:tcPr>
            <w:tcW w:w="14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（1）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267" w:type="dxa"/>
            <w:vAlign w:val="bottom"/>
          </w:tcPr>
          <w:p>
            <w:pPr>
              <w:pStyle w:val="57"/>
            </w:pPr>
          </w:p>
        </w:tc>
        <w:tc>
          <w:tcPr>
            <w:tcW w:w="14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垂直位移(</w:t>
            </w:r>
            <w:r>
              <w:rPr>
                <w:rFonts w:hint="eastAsia"/>
                <w:color w:val="000000"/>
                <w:szCs w:val="21"/>
              </w:rPr>
              <w:t>水准</w:t>
            </w:r>
            <w:r>
              <w:rPr>
                <w:color w:val="000000"/>
                <w:szCs w:val="21"/>
              </w:rPr>
              <w:t>)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38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（2）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自动化观测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  <w:rPr>
                <w:color w:val="000000"/>
                <w:szCs w:val="21"/>
              </w:rPr>
            </w:pPr>
          </w:p>
        </w:tc>
        <w:tc>
          <w:tcPr>
            <w:tcW w:w="1461" w:type="dxa"/>
            <w:vAlign w:val="center"/>
          </w:tcPr>
          <w:p>
            <w:pPr>
              <w:pStyle w:val="57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GNSS或标靶</w:t>
            </w:r>
          </w:p>
        </w:tc>
        <w:tc>
          <w:tcPr>
            <w:tcW w:w="1267" w:type="dxa"/>
            <w:vAlign w:val="bottom"/>
          </w:tcPr>
          <w:p>
            <w:pPr>
              <w:pStyle w:val="57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点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t>4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</w:p>
        </w:tc>
        <w:tc>
          <w:tcPr>
            <w:tcW w:w="14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人工观测</w:t>
            </w:r>
          </w:p>
        </w:tc>
        <w:tc>
          <w:tcPr>
            <w:tcW w:w="1267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267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</w:p>
        </w:tc>
        <w:tc>
          <w:tcPr>
            <w:tcW w:w="14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</w:p>
        </w:tc>
        <w:tc>
          <w:tcPr>
            <w:tcW w:w="14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80171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63094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7584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8135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</w:p>
        </w:tc>
        <w:tc>
          <w:tcPr>
            <w:tcW w:w="14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15725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5245.2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</w:p>
        </w:tc>
        <w:tc>
          <w:tcPr>
            <w:tcW w:w="14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2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267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4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14</w:t>
            </w:r>
          </w:p>
        </w:tc>
      </w:tr>
    </w:tbl>
    <w:p>
      <w:pPr>
        <w:pStyle w:val="4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4"/>
      </w:pPr>
      <w:r>
        <w:rPr>
          <w:rFonts w:hint="eastAsia"/>
        </w:rPr>
        <w:t>井陉县</w:t>
      </w:r>
    </w:p>
    <w:p>
      <w:pPr>
        <w:pStyle w:val="59"/>
      </w:pPr>
      <w:r>
        <w:rPr>
          <w:rFonts w:hint="eastAsia"/>
        </w:rPr>
        <w:t>井陉县水库运行管护部分工程量</w:t>
      </w:r>
    </w:p>
    <w:tbl>
      <w:tblPr>
        <w:tblStyle w:val="36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4845"/>
        <w:gridCol w:w="1221"/>
        <w:gridCol w:w="14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22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444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221" w:type="dxa"/>
            <w:vAlign w:val="bottom"/>
          </w:tcPr>
          <w:p>
            <w:pPr>
              <w:pStyle w:val="57"/>
            </w:pPr>
          </w:p>
        </w:tc>
        <w:tc>
          <w:tcPr>
            <w:tcW w:w="1444" w:type="dxa"/>
            <w:vAlign w:val="bottom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</w:p>
        </w:tc>
        <w:tc>
          <w:tcPr>
            <w:tcW w:w="144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221" w:type="dxa"/>
            <w:vAlign w:val="bottom"/>
          </w:tcPr>
          <w:p>
            <w:pPr>
              <w:pStyle w:val="57"/>
            </w:pPr>
          </w:p>
        </w:tc>
        <w:tc>
          <w:tcPr>
            <w:tcW w:w="1444" w:type="dxa"/>
            <w:vAlign w:val="bottom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（1）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</w:p>
        </w:tc>
        <w:tc>
          <w:tcPr>
            <w:tcW w:w="144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水平位移(经纬)</w:t>
            </w:r>
          </w:p>
        </w:tc>
        <w:tc>
          <w:tcPr>
            <w:tcW w:w="122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垂直位移(水准)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（2）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</w:p>
        </w:tc>
        <w:tc>
          <w:tcPr>
            <w:tcW w:w="144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GNSS或标靶</w:t>
            </w:r>
          </w:p>
        </w:tc>
        <w:tc>
          <w:tcPr>
            <w:tcW w:w="122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</w:p>
        </w:tc>
        <w:tc>
          <w:tcPr>
            <w:tcW w:w="144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22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闸门启闭机维养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  <w:r>
              <w:rPr>
                <w:rFonts w:eastAsia="微软雅黑"/>
                <w:color w:val="000000"/>
                <w:szCs w:val="21"/>
              </w:rPr>
              <w:t>▪</w:t>
            </w:r>
            <w:r>
              <w:rPr>
                <w:color w:val="000000"/>
                <w:szCs w:val="21"/>
              </w:rPr>
              <w:t>套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</w:p>
        </w:tc>
        <w:tc>
          <w:tcPr>
            <w:tcW w:w="144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</w:p>
        </w:tc>
        <w:tc>
          <w:tcPr>
            <w:tcW w:w="144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96850.8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21701.88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11773.8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12061.47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</w:p>
        </w:tc>
        <w:tc>
          <w:tcPr>
            <w:tcW w:w="144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64692.9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五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</w:p>
        </w:tc>
        <w:tc>
          <w:tcPr>
            <w:tcW w:w="144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22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44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15</w:t>
            </w:r>
          </w:p>
        </w:tc>
      </w:tr>
    </w:tbl>
    <w:p>
      <w:pPr>
        <w:pStyle w:val="59"/>
        <w:numPr>
          <w:ilvl w:val="0"/>
          <w:numId w:val="0"/>
        </w:numPr>
        <w:jc w:val="both"/>
      </w:pPr>
    </w:p>
    <w:p>
      <w:pPr>
        <w:pStyle w:val="59"/>
        <w:numPr>
          <w:ilvl w:val="0"/>
          <w:numId w:val="0"/>
        </w:numPr>
        <w:jc w:val="both"/>
      </w:pPr>
    </w:p>
    <w:p>
      <w:pPr>
        <w:pStyle w:val="59"/>
        <w:numPr>
          <w:ilvl w:val="0"/>
          <w:numId w:val="0"/>
        </w:numPr>
        <w:jc w:val="both"/>
      </w:pPr>
    </w:p>
    <w:p>
      <w:pPr>
        <w:pStyle w:val="4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4"/>
      </w:pPr>
      <w:r>
        <w:rPr>
          <w:rFonts w:hint="eastAsia"/>
        </w:rPr>
        <w:t>灵寿县</w:t>
      </w:r>
    </w:p>
    <w:p>
      <w:pPr>
        <w:pStyle w:val="59"/>
      </w:pPr>
      <w:r>
        <w:rPr>
          <w:rFonts w:hint="eastAsia"/>
        </w:rPr>
        <w:t>灵寿县水库运行管护部分工程量</w:t>
      </w:r>
    </w:p>
    <w:tbl>
      <w:tblPr>
        <w:tblStyle w:val="36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1"/>
        <w:gridCol w:w="4802"/>
        <w:gridCol w:w="1419"/>
        <w:gridCol w:w="13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</w:p>
        </w:tc>
        <w:tc>
          <w:tcPr>
            <w:tcW w:w="133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</w:p>
        </w:tc>
        <w:tc>
          <w:tcPr>
            <w:tcW w:w="133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600000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128000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3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419" w:type="dxa"/>
            <w:vAlign w:val="bottom"/>
          </w:tcPr>
          <w:p>
            <w:pPr>
              <w:pStyle w:val="57"/>
            </w:pPr>
          </w:p>
        </w:tc>
        <w:tc>
          <w:tcPr>
            <w:tcW w:w="1334" w:type="dxa"/>
            <w:vAlign w:val="bottom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（1）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</w:p>
        </w:tc>
        <w:tc>
          <w:tcPr>
            <w:tcW w:w="133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水平位移(经纬)</w:t>
            </w:r>
          </w:p>
        </w:tc>
        <w:tc>
          <w:tcPr>
            <w:tcW w:w="1419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垂直位移(水准)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4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</w:p>
        </w:tc>
        <w:tc>
          <w:tcPr>
            <w:tcW w:w="133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419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</w:p>
        </w:tc>
        <w:tc>
          <w:tcPr>
            <w:tcW w:w="133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</w:p>
        </w:tc>
        <w:tc>
          <w:tcPr>
            <w:tcW w:w="133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98206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57284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25507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4808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</w:p>
        </w:tc>
        <w:tc>
          <w:tcPr>
            <w:tcW w:w="133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57284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26291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</w:p>
        </w:tc>
        <w:tc>
          <w:tcPr>
            <w:tcW w:w="133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02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419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334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25</w:t>
            </w:r>
          </w:p>
        </w:tc>
      </w:tr>
    </w:tbl>
    <w:p>
      <w:pPr>
        <w:pStyle w:val="4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4"/>
      </w:pPr>
      <w:r>
        <w:rPr>
          <w:rFonts w:hint="eastAsia"/>
        </w:rPr>
        <w:t>鹿泉区</w:t>
      </w:r>
    </w:p>
    <w:p>
      <w:pPr>
        <w:pStyle w:val="59"/>
      </w:pPr>
      <w:r>
        <w:rPr>
          <w:rFonts w:hint="eastAsia"/>
        </w:rPr>
        <w:t>鹿泉区水库运行管护部分工程量</w:t>
      </w:r>
    </w:p>
    <w:tbl>
      <w:tblPr>
        <w:tblStyle w:val="36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3"/>
        <w:gridCol w:w="4847"/>
        <w:gridCol w:w="1405"/>
        <w:gridCol w:w="13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</w:p>
        </w:tc>
        <w:tc>
          <w:tcPr>
            <w:tcW w:w="13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</w:p>
        </w:tc>
        <w:tc>
          <w:tcPr>
            <w:tcW w:w="13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165000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550000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3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位移监测</w:t>
            </w:r>
            <w:r>
              <w:rPr>
                <w:rFonts w:hint="eastAsia"/>
                <w:color w:val="000000"/>
                <w:szCs w:val="21"/>
              </w:rPr>
              <w:t>（4次/年）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</w:p>
        </w:tc>
        <w:tc>
          <w:tcPr>
            <w:tcW w:w="13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GNSS或标靶</w:t>
            </w:r>
          </w:p>
        </w:tc>
        <w:tc>
          <w:tcPr>
            <w:tcW w:w="1405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4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405" w:type="dxa"/>
            <w:vAlign w:val="bottom"/>
          </w:tcPr>
          <w:p>
            <w:pPr>
              <w:pStyle w:val="57"/>
            </w:pPr>
          </w:p>
        </w:tc>
        <w:tc>
          <w:tcPr>
            <w:tcW w:w="1361" w:type="dxa"/>
            <w:vAlign w:val="bottom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405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闸门启闭机维养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  <w:r>
              <w:rPr>
                <w:rFonts w:eastAsia="微软雅黑"/>
                <w:color w:val="000000"/>
                <w:szCs w:val="21"/>
              </w:rPr>
              <w:t>▪</w:t>
            </w:r>
            <w:r>
              <w:rPr>
                <w:color w:val="000000"/>
                <w:szCs w:val="21"/>
              </w:rPr>
              <w:t>套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</w:p>
        </w:tc>
        <w:tc>
          <w:tcPr>
            <w:tcW w:w="13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</w:p>
        </w:tc>
        <w:tc>
          <w:tcPr>
            <w:tcW w:w="13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67587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27339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25687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18639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</w:p>
        </w:tc>
        <w:tc>
          <w:tcPr>
            <w:tcW w:w="13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806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五</w:t>
            </w: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</w:p>
        </w:tc>
        <w:tc>
          <w:tcPr>
            <w:tcW w:w="1361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57"/>
            </w:pPr>
          </w:p>
        </w:tc>
        <w:tc>
          <w:tcPr>
            <w:tcW w:w="4847" w:type="dxa"/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405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361" w:type="dxa"/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11</w:t>
            </w:r>
          </w:p>
        </w:tc>
      </w:tr>
    </w:tbl>
    <w:p>
      <w:pPr>
        <w:pStyle w:val="59"/>
        <w:numPr>
          <w:ilvl w:val="0"/>
          <w:numId w:val="0"/>
        </w:numPr>
      </w:pPr>
    </w:p>
    <w:p>
      <w:pPr>
        <w:pStyle w:val="4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4"/>
      </w:pPr>
      <w:r>
        <w:rPr>
          <w:rFonts w:hint="eastAsia"/>
        </w:rPr>
        <w:t>平山县</w:t>
      </w:r>
    </w:p>
    <w:p>
      <w:pPr>
        <w:pStyle w:val="59"/>
      </w:pPr>
      <w:r>
        <w:rPr>
          <w:rFonts w:hint="eastAsia"/>
        </w:rPr>
        <w:t>平山县水库运行管护部分工程量</w:t>
      </w:r>
    </w:p>
    <w:tbl>
      <w:tblPr>
        <w:tblStyle w:val="36"/>
        <w:tblW w:w="829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5"/>
        <w:gridCol w:w="4797"/>
        <w:gridCol w:w="1014"/>
        <w:gridCol w:w="143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52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3043100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2327500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3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（1）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水平位移(经纬)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129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垂直位移(水准)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129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（2）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GNSS或标靶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4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101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闸门启闭机维养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  <w:r>
              <w:rPr>
                <w:rFonts w:eastAsia="微软雅黑"/>
                <w:color w:val="000000"/>
                <w:szCs w:val="21"/>
              </w:rPr>
              <w:t>▪</w:t>
            </w:r>
            <w:r>
              <w:rPr>
                <w:color w:val="000000"/>
                <w:szCs w:val="21"/>
              </w:rPr>
              <w:t>套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212237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94488.55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24917.09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38382.52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21844.89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111951.2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8511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五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61</w:t>
            </w:r>
          </w:p>
        </w:tc>
      </w:tr>
    </w:tbl>
    <w:p>
      <w:pPr>
        <w:pStyle w:val="4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4"/>
      </w:pPr>
      <w:r>
        <w:rPr>
          <w:rFonts w:hint="eastAsia"/>
        </w:rPr>
        <w:t>元氏县</w:t>
      </w:r>
    </w:p>
    <w:p>
      <w:pPr>
        <w:pStyle w:val="59"/>
      </w:pPr>
      <w:r>
        <w:rPr>
          <w:rFonts w:hint="eastAsia"/>
        </w:rPr>
        <w:t>元氏县水库运行管护部分工程量</w:t>
      </w:r>
    </w:p>
    <w:tbl>
      <w:tblPr>
        <w:tblStyle w:val="36"/>
        <w:tblW w:w="829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4845"/>
        <w:gridCol w:w="1015"/>
        <w:gridCol w:w="160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812000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1019616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3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（1）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人工观测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87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（2）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58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90619.2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5600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16872.06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40953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136949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18422.4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57"/>
            </w:pPr>
            <w:r>
              <w:rPr>
                <w:color w:val="000000"/>
                <w:szCs w:val="21"/>
              </w:rPr>
              <w:t>32</w:t>
            </w:r>
          </w:p>
        </w:tc>
      </w:tr>
    </w:tbl>
    <w:p>
      <w:pPr>
        <w:pStyle w:val="4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4"/>
      </w:pPr>
      <w:r>
        <w:rPr>
          <w:rFonts w:hint="eastAsia"/>
        </w:rPr>
        <w:t>赞皇县</w:t>
      </w:r>
    </w:p>
    <w:p>
      <w:pPr>
        <w:pStyle w:val="59"/>
      </w:pPr>
      <w:r>
        <w:rPr>
          <w:rFonts w:hint="eastAsia"/>
        </w:rPr>
        <w:t>赞皇县水库运行管护部分工程量</w:t>
      </w:r>
    </w:p>
    <w:tbl>
      <w:tblPr>
        <w:tblStyle w:val="36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7"/>
        <w:gridCol w:w="4845"/>
        <w:gridCol w:w="1015"/>
        <w:gridCol w:w="13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2539900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4040800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3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015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（1）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水平位移(经纬)</w:t>
            </w:r>
          </w:p>
        </w:tc>
        <w:tc>
          <w:tcPr>
            <w:tcW w:w="1015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153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垂直位移(水准)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153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（2）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GNSS或标靶</w:t>
            </w:r>
          </w:p>
        </w:tc>
        <w:tc>
          <w:tcPr>
            <w:tcW w:w="1015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4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人工观测</w:t>
            </w:r>
          </w:p>
        </w:tc>
        <w:tc>
          <w:tcPr>
            <w:tcW w:w="1015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112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5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83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92999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12707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13694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21452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80161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7853.4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57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57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015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369" w:type="dxa"/>
            <w:vAlign w:val="center"/>
          </w:tcPr>
          <w:p>
            <w:pPr>
              <w:pStyle w:val="57"/>
              <w:rPr>
                <w:szCs w:val="21"/>
              </w:rPr>
            </w:pPr>
            <w:r>
              <w:rPr>
                <w:color w:val="000000"/>
                <w:szCs w:val="21"/>
              </w:rPr>
              <w:t>62</w:t>
            </w:r>
          </w:p>
        </w:tc>
      </w:tr>
    </w:tbl>
    <w:p>
      <w:pPr>
        <w:pStyle w:val="4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4"/>
      </w:pPr>
      <w:r>
        <w:rPr>
          <w:rFonts w:hint="eastAsia"/>
        </w:rPr>
        <w:t>高邑县</w:t>
      </w:r>
    </w:p>
    <w:p>
      <w:pPr>
        <w:pStyle w:val="59"/>
      </w:pPr>
      <w:r>
        <w:rPr>
          <w:rFonts w:hint="eastAsia"/>
        </w:rPr>
        <w:t>高邑县水库运行管护部分工程量</w:t>
      </w:r>
    </w:p>
    <w:tbl>
      <w:tblPr>
        <w:tblStyle w:val="36"/>
        <w:tblW w:w="829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6"/>
        <w:gridCol w:w="5329"/>
        <w:gridCol w:w="1010"/>
        <w:gridCol w:w="130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序号</w:t>
            </w:r>
          </w:p>
        </w:tc>
        <w:tc>
          <w:tcPr>
            <w:tcW w:w="53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管护部分</w:t>
            </w:r>
          </w:p>
        </w:tc>
        <w:tc>
          <w:tcPr>
            <w:tcW w:w="10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单位</w:t>
            </w:r>
          </w:p>
        </w:tc>
        <w:tc>
          <w:tcPr>
            <w:tcW w:w="13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一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巡查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小（2）型水库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座·年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二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安全监测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雨水情固定资产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元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40500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三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工程管护（锄草、管护、垃圾等）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硬化基层管护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上游坝坡管护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㎡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747.72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下游坝坡管护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㎡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747.72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坝顶管护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㎡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163.68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溢洪道管护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㎡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2700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四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档案管理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小型水库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座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</w:tr>
    </w:tbl>
    <w:p>
      <w:pPr>
        <w:ind w:firstLine="560"/>
      </w:pPr>
    </w:p>
    <w:p>
      <w:pPr>
        <w:pStyle w:val="4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4"/>
      </w:pPr>
      <w:r>
        <w:rPr>
          <w:rFonts w:hint="eastAsia"/>
        </w:rPr>
        <w:t>井陉矿区</w:t>
      </w:r>
    </w:p>
    <w:p>
      <w:pPr>
        <w:pStyle w:val="59"/>
      </w:pPr>
      <w:r>
        <w:rPr>
          <w:rFonts w:hint="eastAsia"/>
        </w:rPr>
        <w:t>井陉矿区水库运行管护部分工程量</w:t>
      </w:r>
    </w:p>
    <w:tbl>
      <w:tblPr>
        <w:tblStyle w:val="36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1"/>
        <w:gridCol w:w="4822"/>
        <w:gridCol w:w="1379"/>
        <w:gridCol w:w="13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序号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管护部分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单位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一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巡查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</w:p>
        </w:tc>
        <w:tc>
          <w:tcPr>
            <w:tcW w:w="135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小（2）型水库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座·年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二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安全监测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</w:p>
        </w:tc>
        <w:tc>
          <w:tcPr>
            <w:tcW w:w="135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位移监测（4次/年）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</w:p>
        </w:tc>
        <w:tc>
          <w:tcPr>
            <w:tcW w:w="135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（1）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人工观测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</w:p>
        </w:tc>
        <w:tc>
          <w:tcPr>
            <w:tcW w:w="135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垂直位移（水准）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点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渗流压力监测（52次/年）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</w:p>
        </w:tc>
        <w:tc>
          <w:tcPr>
            <w:tcW w:w="135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人工观测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点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三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闸门启闭机维养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元</w:t>
            </w:r>
            <w:r>
              <w:t>▪</w:t>
            </w:r>
            <w:r>
              <w:rPr>
                <w:rFonts w:hint="eastAsia"/>
              </w:rPr>
              <w:t>套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四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工程管护（锄草、管护、垃圾等）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</w:p>
        </w:tc>
        <w:tc>
          <w:tcPr>
            <w:tcW w:w="135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硬化基层管护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</w:p>
        </w:tc>
        <w:tc>
          <w:tcPr>
            <w:tcW w:w="135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上游坝坡管护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14624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下游坝坡管护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2517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坝顶管护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2268.8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溢洪道管护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7920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2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土质基层管护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</w:p>
        </w:tc>
        <w:tc>
          <w:tcPr>
            <w:tcW w:w="135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下游坝坡管护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9663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五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档案管理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</w:p>
        </w:tc>
        <w:tc>
          <w:tcPr>
            <w:tcW w:w="1354" w:type="dxa"/>
            <w:vAlign w:val="center"/>
          </w:tcPr>
          <w:p>
            <w:pPr>
              <w:pStyle w:val="57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57"/>
            </w:pPr>
            <w:r>
              <w:rPr>
                <w:rFonts w:hint="eastAsia"/>
              </w:rPr>
              <w:t>1</w:t>
            </w:r>
          </w:p>
        </w:tc>
        <w:tc>
          <w:tcPr>
            <w:tcW w:w="4822" w:type="dxa"/>
            <w:vAlign w:val="bottom"/>
          </w:tcPr>
          <w:p>
            <w:pPr>
              <w:pStyle w:val="57"/>
              <w:jc w:val="left"/>
            </w:pPr>
            <w:r>
              <w:rPr>
                <w:rFonts w:hint="eastAsia"/>
              </w:rPr>
              <w:t>小型水库</w:t>
            </w:r>
          </w:p>
        </w:tc>
        <w:tc>
          <w:tcPr>
            <w:tcW w:w="1379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座</w:t>
            </w:r>
          </w:p>
        </w:tc>
        <w:tc>
          <w:tcPr>
            <w:tcW w:w="1354" w:type="dxa"/>
            <w:vAlign w:val="center"/>
          </w:tcPr>
          <w:p>
            <w:pPr>
              <w:pStyle w:val="57"/>
            </w:pPr>
            <w:r>
              <w:rPr>
                <w:rFonts w:hint="eastAsia"/>
              </w:rPr>
              <w:t>4</w:t>
            </w:r>
          </w:p>
        </w:tc>
      </w:tr>
    </w:tbl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Segoe UI Symbol">
    <w:panose1 w:val="020B0502040204020203"/>
    <w:charset w:val="00"/>
    <w:family w:val="swiss"/>
    <w:pitch w:val="default"/>
    <w:sig w:usb0="8000006F" w:usb1="1200FBEF" w:usb2="0004C000" w:usb3="00000000" w:csb0="00000001" w:csb1="4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922175609"/>
    </w:sdtPr>
    <w:sdtContent>
      <w:p>
        <w:pPr>
          <w:pStyle w:val="22"/>
          <w:ind w:firstLine="36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2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3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B3B3E"/>
    <w:multiLevelType w:val="multilevel"/>
    <w:tmpl w:val="238B3B3E"/>
    <w:lvl w:ilvl="0" w:tentative="0">
      <w:start w:val="1"/>
      <w:numFmt w:val="decimal"/>
      <w:pStyle w:val="2"/>
      <w:suff w:val="space"/>
      <w:lvlText w:val="%1"/>
      <w:lvlJc w:val="center"/>
      <w:pPr>
        <w:ind w:left="0" w:firstLine="0"/>
      </w:pPr>
      <w:rPr>
        <w:rFonts w:hint="eastAsia"/>
      </w:rPr>
    </w:lvl>
    <w:lvl w:ilvl="1" w:tentative="0">
      <w:start w:val="1"/>
      <w:numFmt w:val="decimal"/>
      <w:pStyle w:val="3"/>
      <w:suff w:val="space"/>
      <w:lvlText w:val="%1.%2"/>
      <w:lvlJc w:val="left"/>
      <w:pPr>
        <w:ind w:left="3119" w:firstLine="0"/>
      </w:pPr>
      <w:rPr>
        <w:rFonts w:hint="eastAsia"/>
      </w:rPr>
    </w:lvl>
    <w:lvl w:ilvl="2" w:tentative="0">
      <w:start w:val="1"/>
      <w:numFmt w:val="decimal"/>
      <w:pStyle w:val="4"/>
      <w:suff w:val="space"/>
      <w:lvlText w:val="%1.%2.%3"/>
      <w:lvlJc w:val="left"/>
      <w:pPr>
        <w:ind w:left="0" w:firstLine="0"/>
      </w:pPr>
      <w:rPr>
        <w:rFonts w:hint="eastAsia"/>
      </w:rPr>
    </w:lvl>
    <w:lvl w:ilvl="3" w:tentative="0">
      <w:start w:val="1"/>
      <w:numFmt w:val="decimal"/>
      <w:pStyle w:val="5"/>
      <w:suff w:val="space"/>
      <w:lvlText w:val="%1.%2.%3.%4"/>
      <w:lvlJc w:val="left"/>
      <w:pPr>
        <w:ind w:left="0" w:firstLine="0"/>
      </w:pPr>
      <w:rPr>
        <w:rFonts w:hint="eastAsia"/>
      </w:rPr>
    </w:lvl>
    <w:lvl w:ilvl="4" w:tentative="0">
      <w:start w:val="1"/>
      <w:numFmt w:val="decimal"/>
      <w:pStyle w:val="6"/>
      <w:suff w:val="space"/>
      <w:lvlText w:val="%1.%2.%3.%4.%5"/>
      <w:lvlJc w:val="left"/>
      <w:pPr>
        <w:ind w:left="0" w:firstLine="0"/>
      </w:pPr>
      <w:rPr>
        <w:rFonts w:hint="eastAsia"/>
      </w:rPr>
    </w:lvl>
    <w:lvl w:ilvl="5" w:tentative="0">
      <w:start w:val="1"/>
      <w:numFmt w:val="decimal"/>
      <w:pStyle w:val="7"/>
      <w:suff w:val="space"/>
      <w:lvlText w:val="%1.%2.%3.%4.%5.%6"/>
      <w:lvlJc w:val="left"/>
      <w:pPr>
        <w:ind w:left="0" w:firstLine="0"/>
      </w:pPr>
      <w:rPr>
        <w:rFonts w:hint="eastAsia"/>
      </w:rPr>
    </w:lvl>
    <w:lvl w:ilvl="6" w:tentative="0">
      <w:start w:val="1"/>
      <w:numFmt w:val="decimal"/>
      <w:lvlRestart w:val="1"/>
      <w:pStyle w:val="59"/>
      <w:suff w:val="space"/>
      <w:lvlText w:val="表%1-%7"/>
      <w:lvlJc w:val="left"/>
      <w:pPr>
        <w:ind w:left="992" w:firstLine="0"/>
      </w:pPr>
    </w:lvl>
    <w:lvl w:ilvl="7" w:tentative="0">
      <w:start w:val="1"/>
      <w:numFmt w:val="decimal"/>
      <w:lvlRestart w:val="1"/>
      <w:pStyle w:val="77"/>
      <w:suff w:val="space"/>
      <w:lvlText w:val="图%1-%8"/>
      <w:lvlJc w:val="left"/>
      <w:pPr>
        <w:ind w:left="8223" w:firstLine="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0" w:firstLine="0"/>
      </w:pPr>
      <w:rPr>
        <w:rFonts w:hint="eastAsia"/>
      </w:rPr>
    </w:lvl>
  </w:abstractNum>
  <w:abstractNum w:abstractNumId="1">
    <w:nsid w:val="26FF48FA"/>
    <w:multiLevelType w:val="multilevel"/>
    <w:tmpl w:val="26FF48FA"/>
    <w:lvl w:ilvl="0" w:tentative="0">
      <w:start w:val="1"/>
      <w:numFmt w:val="decimal"/>
      <w:pStyle w:val="84"/>
      <w:suff w:val="space"/>
      <w:lvlText w:val="%1"/>
      <w:lvlJc w:val="center"/>
      <w:pPr>
        <w:ind w:left="0" w:firstLine="0"/>
      </w:pPr>
      <w:rPr>
        <w:rFonts w:hint="eastAsia"/>
      </w:rPr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eastAsia"/>
      </w:rPr>
    </w:lvl>
    <w:lvl w:ilvl="3" w:tentative="0">
      <w:start w:val="1"/>
      <w:numFmt w:val="decimal"/>
      <w:lvlRestart w:val="1"/>
      <w:pStyle w:val="63"/>
      <w:lvlText w:val="表%1-%4"/>
      <w:lvlJc w:val="left"/>
      <w:pPr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C13"/>
    <w:rsid w:val="00012071"/>
    <w:rsid w:val="0002357D"/>
    <w:rsid w:val="000240EB"/>
    <w:rsid w:val="00025739"/>
    <w:rsid w:val="00027385"/>
    <w:rsid w:val="00055429"/>
    <w:rsid w:val="000727F1"/>
    <w:rsid w:val="000767F8"/>
    <w:rsid w:val="00087871"/>
    <w:rsid w:val="00093A15"/>
    <w:rsid w:val="000A6329"/>
    <w:rsid w:val="000B380F"/>
    <w:rsid w:val="000D474E"/>
    <w:rsid w:val="000D5375"/>
    <w:rsid w:val="000E3F5C"/>
    <w:rsid w:val="000F4D04"/>
    <w:rsid w:val="000F749A"/>
    <w:rsid w:val="001100F8"/>
    <w:rsid w:val="0011013C"/>
    <w:rsid w:val="0011274C"/>
    <w:rsid w:val="00117A0A"/>
    <w:rsid w:val="00123F70"/>
    <w:rsid w:val="0012414A"/>
    <w:rsid w:val="00180A64"/>
    <w:rsid w:val="00184991"/>
    <w:rsid w:val="0018531A"/>
    <w:rsid w:val="00185A42"/>
    <w:rsid w:val="001C566A"/>
    <w:rsid w:val="001D2B38"/>
    <w:rsid w:val="001D4B24"/>
    <w:rsid w:val="0020153D"/>
    <w:rsid w:val="00206234"/>
    <w:rsid w:val="00207C91"/>
    <w:rsid w:val="00211414"/>
    <w:rsid w:val="002159A0"/>
    <w:rsid w:val="00221CE9"/>
    <w:rsid w:val="002343EF"/>
    <w:rsid w:val="00276E64"/>
    <w:rsid w:val="002A30EE"/>
    <w:rsid w:val="002A3861"/>
    <w:rsid w:val="002D0C2E"/>
    <w:rsid w:val="00325073"/>
    <w:rsid w:val="00325565"/>
    <w:rsid w:val="00352C05"/>
    <w:rsid w:val="003731B0"/>
    <w:rsid w:val="00392FAF"/>
    <w:rsid w:val="003A4459"/>
    <w:rsid w:val="003B5F23"/>
    <w:rsid w:val="003C24E9"/>
    <w:rsid w:val="003D0C48"/>
    <w:rsid w:val="003D7BE5"/>
    <w:rsid w:val="003E1A0E"/>
    <w:rsid w:val="003E4F13"/>
    <w:rsid w:val="003F7A09"/>
    <w:rsid w:val="004255C2"/>
    <w:rsid w:val="004378F2"/>
    <w:rsid w:val="00450C91"/>
    <w:rsid w:val="004559C3"/>
    <w:rsid w:val="00455CA8"/>
    <w:rsid w:val="00475788"/>
    <w:rsid w:val="00483D7E"/>
    <w:rsid w:val="004963F7"/>
    <w:rsid w:val="004A174F"/>
    <w:rsid w:val="004E15BD"/>
    <w:rsid w:val="00503AD7"/>
    <w:rsid w:val="00515475"/>
    <w:rsid w:val="00520BFE"/>
    <w:rsid w:val="0054262E"/>
    <w:rsid w:val="005454E8"/>
    <w:rsid w:val="00562633"/>
    <w:rsid w:val="00580021"/>
    <w:rsid w:val="00586636"/>
    <w:rsid w:val="0059010F"/>
    <w:rsid w:val="00590B9A"/>
    <w:rsid w:val="005A6152"/>
    <w:rsid w:val="005D3CB7"/>
    <w:rsid w:val="005E0609"/>
    <w:rsid w:val="005E28BF"/>
    <w:rsid w:val="005F6F75"/>
    <w:rsid w:val="0060311B"/>
    <w:rsid w:val="00603F4F"/>
    <w:rsid w:val="006045C9"/>
    <w:rsid w:val="00613F8C"/>
    <w:rsid w:val="00622B6D"/>
    <w:rsid w:val="00643110"/>
    <w:rsid w:val="00647E66"/>
    <w:rsid w:val="00655716"/>
    <w:rsid w:val="00672661"/>
    <w:rsid w:val="00692AFA"/>
    <w:rsid w:val="00693D72"/>
    <w:rsid w:val="006A29A4"/>
    <w:rsid w:val="006C6F1E"/>
    <w:rsid w:val="006E4E6F"/>
    <w:rsid w:val="006F46E3"/>
    <w:rsid w:val="00711C36"/>
    <w:rsid w:val="00737E3C"/>
    <w:rsid w:val="00744953"/>
    <w:rsid w:val="007564E6"/>
    <w:rsid w:val="007575C4"/>
    <w:rsid w:val="00764877"/>
    <w:rsid w:val="00772771"/>
    <w:rsid w:val="007A413A"/>
    <w:rsid w:val="007B2008"/>
    <w:rsid w:val="00803C29"/>
    <w:rsid w:val="00816DF7"/>
    <w:rsid w:val="00827728"/>
    <w:rsid w:val="00863DCB"/>
    <w:rsid w:val="0088434A"/>
    <w:rsid w:val="0088472A"/>
    <w:rsid w:val="008A3006"/>
    <w:rsid w:val="008B5C56"/>
    <w:rsid w:val="008B709A"/>
    <w:rsid w:val="008C0C78"/>
    <w:rsid w:val="008E6F21"/>
    <w:rsid w:val="008F4886"/>
    <w:rsid w:val="00902287"/>
    <w:rsid w:val="009035D8"/>
    <w:rsid w:val="00906FDC"/>
    <w:rsid w:val="00912B2F"/>
    <w:rsid w:val="00930212"/>
    <w:rsid w:val="00935004"/>
    <w:rsid w:val="00936295"/>
    <w:rsid w:val="00946944"/>
    <w:rsid w:val="00982DE5"/>
    <w:rsid w:val="00991385"/>
    <w:rsid w:val="009B1C9D"/>
    <w:rsid w:val="009C13CD"/>
    <w:rsid w:val="009C1CA0"/>
    <w:rsid w:val="009D0701"/>
    <w:rsid w:val="009D5E42"/>
    <w:rsid w:val="009D7F9E"/>
    <w:rsid w:val="009E1608"/>
    <w:rsid w:val="00A0109C"/>
    <w:rsid w:val="00A11559"/>
    <w:rsid w:val="00A150E2"/>
    <w:rsid w:val="00A22831"/>
    <w:rsid w:val="00A34201"/>
    <w:rsid w:val="00A422D0"/>
    <w:rsid w:val="00A6056F"/>
    <w:rsid w:val="00A612DD"/>
    <w:rsid w:val="00A61FE7"/>
    <w:rsid w:val="00A76F46"/>
    <w:rsid w:val="00AD2CB6"/>
    <w:rsid w:val="00AD6586"/>
    <w:rsid w:val="00AE54EA"/>
    <w:rsid w:val="00AE75B9"/>
    <w:rsid w:val="00AF7E13"/>
    <w:rsid w:val="00B0358F"/>
    <w:rsid w:val="00B0744C"/>
    <w:rsid w:val="00B1002B"/>
    <w:rsid w:val="00B10B9A"/>
    <w:rsid w:val="00B149DA"/>
    <w:rsid w:val="00B41BF2"/>
    <w:rsid w:val="00B52E7E"/>
    <w:rsid w:val="00B569EF"/>
    <w:rsid w:val="00B73852"/>
    <w:rsid w:val="00B91EE6"/>
    <w:rsid w:val="00BA3624"/>
    <w:rsid w:val="00BA4030"/>
    <w:rsid w:val="00BA5073"/>
    <w:rsid w:val="00BB14AF"/>
    <w:rsid w:val="00BE5CEC"/>
    <w:rsid w:val="00BF4D40"/>
    <w:rsid w:val="00C0196F"/>
    <w:rsid w:val="00C124E3"/>
    <w:rsid w:val="00C21AD4"/>
    <w:rsid w:val="00C37DB7"/>
    <w:rsid w:val="00C5456B"/>
    <w:rsid w:val="00C72228"/>
    <w:rsid w:val="00CB2C13"/>
    <w:rsid w:val="00CF4100"/>
    <w:rsid w:val="00D00B03"/>
    <w:rsid w:val="00D260C1"/>
    <w:rsid w:val="00D32B4A"/>
    <w:rsid w:val="00D507EA"/>
    <w:rsid w:val="00D95043"/>
    <w:rsid w:val="00DA7473"/>
    <w:rsid w:val="00DB4994"/>
    <w:rsid w:val="00DB6151"/>
    <w:rsid w:val="00DC2EFC"/>
    <w:rsid w:val="00DE167A"/>
    <w:rsid w:val="00DE44C4"/>
    <w:rsid w:val="00E01B28"/>
    <w:rsid w:val="00E0639F"/>
    <w:rsid w:val="00E316BD"/>
    <w:rsid w:val="00E31903"/>
    <w:rsid w:val="00E82637"/>
    <w:rsid w:val="00EB273E"/>
    <w:rsid w:val="00ED067A"/>
    <w:rsid w:val="00F15057"/>
    <w:rsid w:val="00F21DD8"/>
    <w:rsid w:val="00F23750"/>
    <w:rsid w:val="00F3609D"/>
    <w:rsid w:val="00F45DB8"/>
    <w:rsid w:val="00F511D9"/>
    <w:rsid w:val="00F55441"/>
    <w:rsid w:val="00F61D8C"/>
    <w:rsid w:val="00F6392C"/>
    <w:rsid w:val="00F66F24"/>
    <w:rsid w:val="00F75FCA"/>
    <w:rsid w:val="00FB65BA"/>
    <w:rsid w:val="00FC455E"/>
    <w:rsid w:val="00FD66D3"/>
    <w:rsid w:val="00FE070C"/>
    <w:rsid w:val="00FE643D"/>
    <w:rsid w:val="00FE7E38"/>
    <w:rsid w:val="00FF5AF6"/>
    <w:rsid w:val="00FF718C"/>
    <w:rsid w:val="1C0B6939"/>
    <w:rsid w:val="4DB76A1E"/>
    <w:rsid w:val="58261018"/>
    <w:rsid w:val="73164FBD"/>
    <w:rsid w:val="7EC95620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nhideWhenUsed="0" w:uiPriority="1" w:semiHidden="0" w:name="heading 4"/>
    <w:lsdException w:qFormat="1" w:unhideWhenUsed="0" w:uiPriority="1" w:semiHidden="0" w:name="heading 5"/>
    <w:lsdException w:qFormat="1" w:unhideWhenUsed="0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iPriority="39" w:semiHidden="0" w:name="toc 4"/>
    <w:lsdException w:qFormat="1" w:uiPriority="39" w:semiHidden="0" w:name="toc 5"/>
    <w:lsdException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qFormat="1" w:uiPriority="99" w:semiHidden="0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  <w14:ligatures w14:val="none"/>
    </w:rPr>
  </w:style>
  <w:style w:type="paragraph" w:styleId="2">
    <w:name w:val="heading 1"/>
    <w:basedOn w:val="1"/>
    <w:next w:val="1"/>
    <w:link w:val="40"/>
    <w:qFormat/>
    <w:uiPriority w:val="1"/>
    <w:pPr>
      <w:keepNext/>
      <w:keepLines/>
      <w:pageBreakBefore/>
      <w:numPr>
        <w:ilvl w:val="0"/>
        <w:numId w:val="1"/>
      </w:numPr>
      <w:spacing w:before="120" w:after="120"/>
      <w:ind w:firstLineChars="0"/>
      <w:jc w:val="center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41"/>
    <w:qFormat/>
    <w:uiPriority w:val="1"/>
    <w:pPr>
      <w:keepNext/>
      <w:keepLines/>
      <w:numPr>
        <w:ilvl w:val="1"/>
        <w:numId w:val="1"/>
      </w:numPr>
      <w:spacing w:before="120" w:after="120"/>
      <w:ind w:left="0" w:firstLineChars="0"/>
      <w:jc w:val="left"/>
      <w:outlineLvl w:val="1"/>
    </w:pPr>
    <w:rPr>
      <w:rFonts w:eastAsia="黑体"/>
      <w:b/>
      <w:bCs/>
      <w:szCs w:val="32"/>
    </w:rPr>
  </w:style>
  <w:style w:type="paragraph" w:styleId="4">
    <w:name w:val="heading 3"/>
    <w:basedOn w:val="1"/>
    <w:next w:val="1"/>
    <w:link w:val="42"/>
    <w:qFormat/>
    <w:uiPriority w:val="1"/>
    <w:pPr>
      <w:keepNext/>
      <w:keepLines/>
      <w:numPr>
        <w:ilvl w:val="2"/>
        <w:numId w:val="1"/>
      </w:numPr>
      <w:ind w:firstLineChars="0"/>
      <w:jc w:val="left"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43"/>
    <w:qFormat/>
    <w:uiPriority w:val="1"/>
    <w:pPr>
      <w:keepNext/>
      <w:keepLines/>
      <w:numPr>
        <w:ilvl w:val="3"/>
        <w:numId w:val="1"/>
      </w:numPr>
      <w:spacing w:before="120" w:after="120"/>
      <w:ind w:firstLineChars="0"/>
      <w:jc w:val="left"/>
      <w:outlineLvl w:val="3"/>
    </w:pPr>
    <w:rPr>
      <w:bCs/>
      <w:kern w:val="0"/>
      <w:szCs w:val="28"/>
    </w:rPr>
  </w:style>
  <w:style w:type="paragraph" w:styleId="6">
    <w:name w:val="heading 5"/>
    <w:basedOn w:val="1"/>
    <w:next w:val="1"/>
    <w:link w:val="44"/>
    <w:qFormat/>
    <w:uiPriority w:val="1"/>
    <w:pPr>
      <w:keepNext/>
      <w:keepLines/>
      <w:numPr>
        <w:ilvl w:val="4"/>
        <w:numId w:val="1"/>
      </w:numPr>
      <w:spacing w:before="120" w:after="120"/>
      <w:ind w:firstLineChars="0"/>
      <w:outlineLvl w:val="4"/>
    </w:pPr>
    <w:rPr>
      <w:bCs/>
      <w:szCs w:val="28"/>
    </w:rPr>
  </w:style>
  <w:style w:type="paragraph" w:styleId="7">
    <w:name w:val="heading 6"/>
    <w:basedOn w:val="1"/>
    <w:next w:val="1"/>
    <w:link w:val="45"/>
    <w:qFormat/>
    <w:uiPriority w:val="9"/>
    <w:pPr>
      <w:keepNext/>
      <w:keepLines/>
      <w:numPr>
        <w:ilvl w:val="5"/>
        <w:numId w:val="1"/>
      </w:numPr>
      <w:spacing w:before="120" w:after="120"/>
      <w:ind w:firstLineChars="0"/>
      <w:outlineLvl w:val="5"/>
    </w:pPr>
    <w:rPr>
      <w:bCs/>
    </w:rPr>
  </w:style>
  <w:style w:type="character" w:default="1" w:styleId="31">
    <w:name w:val="Default Paragraph Font"/>
    <w:unhideWhenUsed/>
    <w:qFormat/>
    <w:uiPriority w:val="1"/>
  </w:style>
  <w:style w:type="table" w:default="1" w:styleId="3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annotation subject"/>
    <w:basedOn w:val="9"/>
    <w:next w:val="9"/>
    <w:link w:val="55"/>
    <w:unhideWhenUsed/>
    <w:qFormat/>
    <w:uiPriority w:val="99"/>
    <w:pPr>
      <w:ind w:firstLine="200" w:firstLineChars="200"/>
    </w:pPr>
    <w:rPr>
      <w:rFonts w:ascii="宋体" w:hAnsi="Times New Roman"/>
      <w:b/>
      <w:bCs/>
      <w:sz w:val="24"/>
    </w:rPr>
  </w:style>
  <w:style w:type="paragraph" w:styleId="9">
    <w:name w:val="annotation text"/>
    <w:basedOn w:val="1"/>
    <w:link w:val="47"/>
    <w:qFormat/>
    <w:uiPriority w:val="0"/>
    <w:pPr>
      <w:ind w:firstLine="0" w:firstLineChars="0"/>
      <w:jc w:val="left"/>
    </w:pPr>
    <w:rPr>
      <w:rFonts w:ascii="Calibri" w:hAnsi="Calibri"/>
      <w:sz w:val="21"/>
    </w:rPr>
  </w:style>
  <w:style w:type="paragraph" w:styleId="10">
    <w:name w:val="toc 7"/>
    <w:basedOn w:val="1"/>
    <w:next w:val="1"/>
    <w:unhideWhenUsed/>
    <w:qFormat/>
    <w:uiPriority w:val="39"/>
    <w:pPr>
      <w:ind w:left="2520" w:leftChars="1200" w:firstLine="0" w:firstLineChars="0"/>
    </w:pPr>
    <w:rPr>
      <w:rFonts w:ascii="等线" w:hAnsi="等线" w:eastAsia="等线"/>
      <w:sz w:val="21"/>
      <w:szCs w:val="22"/>
    </w:rPr>
  </w:style>
  <w:style w:type="paragraph" w:styleId="11">
    <w:name w:val="List Number"/>
    <w:basedOn w:val="1"/>
    <w:unhideWhenUsed/>
    <w:qFormat/>
    <w:uiPriority w:val="99"/>
    <w:pPr>
      <w:ind w:firstLine="0" w:firstLineChars="0"/>
      <w:contextualSpacing/>
    </w:pPr>
  </w:style>
  <w:style w:type="paragraph" w:styleId="12">
    <w:name w:val="Normal Indent"/>
    <w:basedOn w:val="1"/>
    <w:qFormat/>
    <w:uiPriority w:val="0"/>
    <w:pPr>
      <w:ind w:firstLine="420" w:firstLineChars="0"/>
    </w:pPr>
    <w:rPr>
      <w:sz w:val="21"/>
      <w:szCs w:val="20"/>
    </w:rPr>
  </w:style>
  <w:style w:type="paragraph" w:styleId="13">
    <w:name w:val="caption"/>
    <w:basedOn w:val="1"/>
    <w:next w:val="1"/>
    <w:qFormat/>
    <w:uiPriority w:val="0"/>
    <w:rPr>
      <w:rFonts w:ascii="Arial" w:hAnsi="Arial" w:eastAsia="黑体" w:cs="Arial"/>
      <w:sz w:val="20"/>
      <w:szCs w:val="20"/>
    </w:rPr>
  </w:style>
  <w:style w:type="paragraph" w:styleId="14">
    <w:name w:val="Document Map"/>
    <w:basedOn w:val="1"/>
    <w:link w:val="46"/>
    <w:unhideWhenUsed/>
    <w:qFormat/>
    <w:uiPriority w:val="99"/>
    <w:rPr>
      <w:rFonts w:ascii="宋体"/>
      <w:kern w:val="0"/>
      <w:sz w:val="18"/>
      <w:szCs w:val="18"/>
    </w:rPr>
  </w:style>
  <w:style w:type="paragraph" w:styleId="15">
    <w:name w:val="Body Text"/>
    <w:basedOn w:val="1"/>
    <w:link w:val="48"/>
    <w:qFormat/>
    <w:uiPriority w:val="1"/>
    <w:pPr>
      <w:spacing w:after="120"/>
    </w:pPr>
  </w:style>
  <w:style w:type="paragraph" w:styleId="16">
    <w:name w:val="toc 5"/>
    <w:basedOn w:val="1"/>
    <w:next w:val="1"/>
    <w:unhideWhenUsed/>
    <w:qFormat/>
    <w:uiPriority w:val="39"/>
    <w:pPr>
      <w:ind w:left="1680" w:leftChars="800" w:firstLine="0" w:firstLineChars="0"/>
    </w:pPr>
    <w:rPr>
      <w:rFonts w:ascii="等线" w:hAnsi="等线" w:eastAsia="等线"/>
      <w:sz w:val="21"/>
      <w:szCs w:val="22"/>
    </w:rPr>
  </w:style>
  <w:style w:type="paragraph" w:styleId="17">
    <w:name w:val="toc 3"/>
    <w:basedOn w:val="1"/>
    <w:next w:val="1"/>
    <w:qFormat/>
    <w:uiPriority w:val="39"/>
    <w:pPr>
      <w:tabs>
        <w:tab w:val="right" w:leader="dot" w:pos="8580"/>
      </w:tabs>
      <w:ind w:firstLine="831" w:firstLineChars="300"/>
    </w:pPr>
  </w:style>
  <w:style w:type="paragraph" w:styleId="18">
    <w:name w:val="Plain Text"/>
    <w:basedOn w:val="1"/>
    <w:link w:val="49"/>
    <w:unhideWhenUsed/>
    <w:qFormat/>
    <w:uiPriority w:val="99"/>
    <w:rPr>
      <w:rFonts w:ascii="宋体" w:hAnsi="Courier New"/>
      <w:sz w:val="21"/>
      <w:szCs w:val="21"/>
    </w:rPr>
  </w:style>
  <w:style w:type="paragraph" w:styleId="19">
    <w:name w:val="toc 8"/>
    <w:basedOn w:val="1"/>
    <w:next w:val="1"/>
    <w:unhideWhenUsed/>
    <w:qFormat/>
    <w:uiPriority w:val="39"/>
    <w:pPr>
      <w:ind w:left="2940" w:leftChars="1400" w:firstLine="0" w:firstLineChars="0"/>
    </w:pPr>
    <w:rPr>
      <w:rFonts w:ascii="等线" w:hAnsi="等线" w:eastAsia="等线"/>
      <w:sz w:val="21"/>
      <w:szCs w:val="22"/>
    </w:rPr>
  </w:style>
  <w:style w:type="paragraph" w:styleId="20">
    <w:name w:val="Date"/>
    <w:basedOn w:val="1"/>
    <w:next w:val="1"/>
    <w:link w:val="50"/>
    <w:unhideWhenUsed/>
    <w:qFormat/>
    <w:uiPriority w:val="99"/>
    <w:pPr>
      <w:ind w:left="100" w:leftChars="2500"/>
    </w:pPr>
    <w:rPr>
      <w:rFonts w:ascii="宋体"/>
      <w:kern w:val="0"/>
    </w:rPr>
  </w:style>
  <w:style w:type="paragraph" w:styleId="21">
    <w:name w:val="Balloon Text"/>
    <w:basedOn w:val="1"/>
    <w:link w:val="51"/>
    <w:unhideWhenUsed/>
    <w:qFormat/>
    <w:uiPriority w:val="99"/>
    <w:rPr>
      <w:rFonts w:ascii="宋体"/>
      <w:sz w:val="18"/>
      <w:szCs w:val="18"/>
    </w:rPr>
  </w:style>
  <w:style w:type="paragraph" w:styleId="22">
    <w:name w:val="foot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3">
    <w:name w:val="header"/>
    <w:basedOn w:val="1"/>
    <w:link w:val="38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4">
    <w:name w:val="toc 1"/>
    <w:basedOn w:val="1"/>
    <w:next w:val="1"/>
    <w:qFormat/>
    <w:uiPriority w:val="39"/>
    <w:pPr>
      <w:tabs>
        <w:tab w:val="right" w:leader="dot" w:pos="8580"/>
      </w:tabs>
      <w:ind w:firstLine="0" w:firstLineChars="0"/>
    </w:pPr>
  </w:style>
  <w:style w:type="paragraph" w:styleId="25">
    <w:name w:val="toc 4"/>
    <w:basedOn w:val="1"/>
    <w:next w:val="1"/>
    <w:unhideWhenUsed/>
    <w:qFormat/>
    <w:uiPriority w:val="39"/>
    <w:pPr>
      <w:ind w:left="1260" w:leftChars="600" w:firstLine="0" w:firstLineChars="0"/>
    </w:pPr>
    <w:rPr>
      <w:rFonts w:ascii="等线" w:hAnsi="等线" w:eastAsia="等线"/>
      <w:sz w:val="21"/>
      <w:szCs w:val="22"/>
    </w:rPr>
  </w:style>
  <w:style w:type="paragraph" w:styleId="26">
    <w:name w:val="toc 6"/>
    <w:basedOn w:val="1"/>
    <w:next w:val="1"/>
    <w:unhideWhenUsed/>
    <w:uiPriority w:val="39"/>
    <w:pPr>
      <w:ind w:left="2100" w:leftChars="1000" w:firstLine="0" w:firstLineChars="0"/>
    </w:pPr>
    <w:rPr>
      <w:rFonts w:ascii="等线" w:hAnsi="等线" w:eastAsia="等线"/>
      <w:sz w:val="21"/>
      <w:szCs w:val="22"/>
    </w:rPr>
  </w:style>
  <w:style w:type="paragraph" w:styleId="27">
    <w:name w:val="toc 2"/>
    <w:basedOn w:val="1"/>
    <w:next w:val="1"/>
    <w:qFormat/>
    <w:uiPriority w:val="39"/>
    <w:pPr>
      <w:tabs>
        <w:tab w:val="right" w:leader="dot" w:pos="8580"/>
      </w:tabs>
      <w:ind w:firstLine="237" w:firstLineChars="100"/>
    </w:pPr>
  </w:style>
  <w:style w:type="paragraph" w:styleId="28">
    <w:name w:val="toc 9"/>
    <w:basedOn w:val="1"/>
    <w:next w:val="1"/>
    <w:unhideWhenUsed/>
    <w:qFormat/>
    <w:uiPriority w:val="39"/>
    <w:pPr>
      <w:ind w:left="3360" w:leftChars="1600" w:firstLine="0" w:firstLineChars="0"/>
    </w:pPr>
    <w:rPr>
      <w:rFonts w:ascii="等线" w:hAnsi="等线" w:eastAsia="等线"/>
      <w:sz w:val="21"/>
      <w:szCs w:val="22"/>
    </w:rPr>
  </w:style>
  <w:style w:type="paragraph" w:styleId="29">
    <w:name w:val="Normal (Web)"/>
    <w:basedOn w:val="1"/>
    <w:unhideWhenUsed/>
    <w:qFormat/>
    <w:uiPriority w:val="99"/>
    <w:pPr>
      <w:widowControl/>
      <w:spacing w:before="100" w:beforeAutospacing="1" w:after="100" w:afterAutospacing="1"/>
      <w:ind w:firstLine="0" w:firstLineChars="0"/>
      <w:jc w:val="left"/>
    </w:pPr>
    <w:rPr>
      <w:rFonts w:hAnsi="宋体" w:cs="宋体"/>
      <w:kern w:val="0"/>
    </w:rPr>
  </w:style>
  <w:style w:type="paragraph" w:styleId="30">
    <w:name w:val="Title"/>
    <w:basedOn w:val="1"/>
    <w:next w:val="1"/>
    <w:link w:val="54"/>
    <w:qFormat/>
    <w:uiPriority w:val="10"/>
    <w:pPr>
      <w:ind w:firstLine="0" w:firstLineChars="0"/>
      <w:jc w:val="center"/>
      <w:outlineLvl w:val="0"/>
    </w:pPr>
    <w:rPr>
      <w:rFonts w:ascii="Cambria" w:hAnsi="Cambria" w:eastAsia="楷体_GB2312"/>
      <w:b/>
      <w:bCs/>
      <w:kern w:val="0"/>
      <w:sz w:val="48"/>
      <w:szCs w:val="32"/>
    </w:rPr>
  </w:style>
  <w:style w:type="character" w:styleId="32">
    <w:name w:val="FollowedHyperlink"/>
    <w:unhideWhenUsed/>
    <w:uiPriority w:val="99"/>
    <w:rPr>
      <w:color w:val="954F72"/>
      <w:u w:val="single"/>
    </w:rPr>
  </w:style>
  <w:style w:type="character" w:styleId="33">
    <w:name w:val="Hyperlink"/>
    <w:qFormat/>
    <w:uiPriority w:val="99"/>
    <w:rPr>
      <w:color w:val="0000FF"/>
      <w:u w:val="single"/>
    </w:rPr>
  </w:style>
  <w:style w:type="character" w:styleId="34">
    <w:name w:val="annotation reference"/>
    <w:qFormat/>
    <w:uiPriority w:val="0"/>
    <w:rPr>
      <w:sz w:val="21"/>
      <w:szCs w:val="21"/>
    </w:rPr>
  </w:style>
  <w:style w:type="character" w:styleId="35">
    <w:name w:val="footnote reference"/>
    <w:semiHidden/>
    <w:qFormat/>
    <w:uiPriority w:val="0"/>
    <w:rPr>
      <w:vertAlign w:val="superscript"/>
    </w:rPr>
  </w:style>
  <w:style w:type="table" w:styleId="37">
    <w:name w:val="Table Grid"/>
    <w:basedOn w:val="36"/>
    <w:qFormat/>
    <w:uiPriority w:val="59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38">
    <w:name w:val="页眉 字符"/>
    <w:basedOn w:val="31"/>
    <w:link w:val="23"/>
    <w:qFormat/>
    <w:uiPriority w:val="99"/>
    <w:rPr>
      <w:sz w:val="18"/>
      <w:szCs w:val="18"/>
    </w:rPr>
  </w:style>
  <w:style w:type="character" w:customStyle="1" w:styleId="39">
    <w:name w:val="页脚 字符"/>
    <w:basedOn w:val="31"/>
    <w:link w:val="22"/>
    <w:qFormat/>
    <w:uiPriority w:val="99"/>
    <w:rPr>
      <w:sz w:val="18"/>
      <w:szCs w:val="18"/>
    </w:rPr>
  </w:style>
  <w:style w:type="character" w:customStyle="1" w:styleId="40">
    <w:name w:val="标题 1 字符"/>
    <w:basedOn w:val="31"/>
    <w:link w:val="2"/>
    <w:qFormat/>
    <w:uiPriority w:val="1"/>
    <w:rPr>
      <w:rFonts w:ascii="Times New Roman" w:hAnsi="Times New Roman" w:eastAsia="黑体" w:cs="Times New Roman"/>
      <w:b/>
      <w:bCs/>
      <w:kern w:val="44"/>
      <w:sz w:val="32"/>
      <w:szCs w:val="44"/>
      <w14:ligatures w14:val="none"/>
    </w:rPr>
  </w:style>
  <w:style w:type="character" w:customStyle="1" w:styleId="41">
    <w:name w:val="标题 2 字符"/>
    <w:basedOn w:val="31"/>
    <w:link w:val="3"/>
    <w:qFormat/>
    <w:uiPriority w:val="1"/>
    <w:rPr>
      <w:rFonts w:ascii="Times New Roman" w:hAnsi="Times New Roman" w:eastAsia="黑体" w:cs="Times New Roman"/>
      <w:b/>
      <w:bCs/>
      <w:sz w:val="28"/>
      <w:szCs w:val="32"/>
      <w14:ligatures w14:val="none"/>
    </w:rPr>
  </w:style>
  <w:style w:type="character" w:customStyle="1" w:styleId="42">
    <w:name w:val="标题 3 字符"/>
    <w:basedOn w:val="31"/>
    <w:link w:val="4"/>
    <w:qFormat/>
    <w:uiPriority w:val="9"/>
    <w:rPr>
      <w:rFonts w:ascii="Times New Roman" w:hAnsi="Times New Roman" w:eastAsia="宋体" w:cs="Times New Roman"/>
      <w:b/>
      <w:bCs/>
      <w:sz w:val="28"/>
      <w:szCs w:val="32"/>
      <w14:ligatures w14:val="none"/>
    </w:rPr>
  </w:style>
  <w:style w:type="character" w:customStyle="1" w:styleId="43">
    <w:name w:val="标题 4 字符"/>
    <w:basedOn w:val="31"/>
    <w:link w:val="5"/>
    <w:uiPriority w:val="1"/>
    <w:rPr>
      <w:rFonts w:ascii="Times New Roman" w:hAnsi="Times New Roman" w:eastAsia="宋体" w:cs="Times New Roman"/>
      <w:bCs/>
      <w:kern w:val="0"/>
      <w:sz w:val="28"/>
      <w:szCs w:val="28"/>
      <w14:ligatures w14:val="none"/>
    </w:rPr>
  </w:style>
  <w:style w:type="character" w:customStyle="1" w:styleId="44">
    <w:name w:val="标题 5 字符"/>
    <w:basedOn w:val="31"/>
    <w:link w:val="6"/>
    <w:qFormat/>
    <w:uiPriority w:val="1"/>
    <w:rPr>
      <w:rFonts w:ascii="Times New Roman" w:hAnsi="Times New Roman" w:eastAsia="宋体" w:cs="Times New Roman"/>
      <w:bCs/>
      <w:sz w:val="28"/>
      <w:szCs w:val="28"/>
      <w14:ligatures w14:val="none"/>
    </w:rPr>
  </w:style>
  <w:style w:type="character" w:customStyle="1" w:styleId="45">
    <w:name w:val="标题 6 字符"/>
    <w:basedOn w:val="31"/>
    <w:link w:val="7"/>
    <w:qFormat/>
    <w:uiPriority w:val="9"/>
    <w:rPr>
      <w:rFonts w:ascii="Times New Roman" w:hAnsi="Times New Roman" w:eastAsia="宋体" w:cs="Times New Roman"/>
      <w:bCs/>
      <w:sz w:val="28"/>
      <w:szCs w:val="24"/>
      <w14:ligatures w14:val="none"/>
    </w:rPr>
  </w:style>
  <w:style w:type="character" w:customStyle="1" w:styleId="46">
    <w:name w:val="文档结构图 字符"/>
    <w:basedOn w:val="31"/>
    <w:link w:val="14"/>
    <w:uiPriority w:val="99"/>
    <w:rPr>
      <w:rFonts w:ascii="宋体" w:hAnsi="Times New Roman" w:eastAsia="宋体" w:cs="Times New Roman"/>
      <w:kern w:val="0"/>
      <w:sz w:val="18"/>
      <w:szCs w:val="18"/>
      <w14:ligatures w14:val="none"/>
    </w:rPr>
  </w:style>
  <w:style w:type="character" w:customStyle="1" w:styleId="47">
    <w:name w:val="批注文字 字符"/>
    <w:basedOn w:val="31"/>
    <w:link w:val="9"/>
    <w:qFormat/>
    <w:uiPriority w:val="0"/>
    <w:rPr>
      <w:rFonts w:ascii="Calibri" w:hAnsi="Calibri" w:eastAsia="宋体" w:cs="Times New Roman"/>
      <w:szCs w:val="24"/>
      <w14:ligatures w14:val="none"/>
    </w:rPr>
  </w:style>
  <w:style w:type="character" w:customStyle="1" w:styleId="48">
    <w:name w:val="正文文本 字符"/>
    <w:basedOn w:val="31"/>
    <w:link w:val="15"/>
    <w:qFormat/>
    <w:uiPriority w:val="1"/>
    <w:rPr>
      <w:rFonts w:ascii="Times New Roman" w:hAnsi="Times New Roman" w:eastAsia="宋体" w:cs="Times New Roman"/>
      <w:sz w:val="28"/>
      <w:szCs w:val="24"/>
      <w14:ligatures w14:val="none"/>
    </w:rPr>
  </w:style>
  <w:style w:type="character" w:customStyle="1" w:styleId="49">
    <w:name w:val="纯文本 字符"/>
    <w:basedOn w:val="31"/>
    <w:link w:val="18"/>
    <w:qFormat/>
    <w:uiPriority w:val="99"/>
    <w:rPr>
      <w:rFonts w:ascii="宋体" w:hAnsi="Courier New" w:eastAsia="宋体" w:cs="Times New Roman"/>
      <w:szCs w:val="21"/>
      <w14:ligatures w14:val="none"/>
    </w:rPr>
  </w:style>
  <w:style w:type="character" w:customStyle="1" w:styleId="50">
    <w:name w:val="日期 字符"/>
    <w:basedOn w:val="31"/>
    <w:link w:val="20"/>
    <w:qFormat/>
    <w:uiPriority w:val="99"/>
    <w:rPr>
      <w:rFonts w:ascii="宋体" w:hAnsi="Times New Roman" w:eastAsia="宋体" w:cs="Times New Roman"/>
      <w:kern w:val="0"/>
      <w:sz w:val="28"/>
      <w:szCs w:val="24"/>
      <w14:ligatures w14:val="none"/>
    </w:rPr>
  </w:style>
  <w:style w:type="character" w:customStyle="1" w:styleId="51">
    <w:name w:val="批注框文本 字符"/>
    <w:basedOn w:val="31"/>
    <w:link w:val="21"/>
    <w:qFormat/>
    <w:uiPriority w:val="99"/>
    <w:rPr>
      <w:rFonts w:ascii="宋体" w:hAnsi="Times New Roman" w:eastAsia="宋体" w:cs="Times New Roman"/>
      <w:sz w:val="18"/>
      <w:szCs w:val="18"/>
      <w14:ligatures w14:val="none"/>
    </w:rPr>
  </w:style>
  <w:style w:type="character" w:customStyle="1" w:styleId="52">
    <w:name w:val="页脚 字符1"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53">
    <w:name w:val="页眉 字符1"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54">
    <w:name w:val="标题 字符"/>
    <w:basedOn w:val="31"/>
    <w:link w:val="30"/>
    <w:qFormat/>
    <w:uiPriority w:val="10"/>
    <w:rPr>
      <w:rFonts w:ascii="Cambria" w:hAnsi="Cambria" w:eastAsia="楷体_GB2312" w:cs="Times New Roman"/>
      <w:b/>
      <w:bCs/>
      <w:kern w:val="0"/>
      <w:sz w:val="48"/>
      <w:szCs w:val="32"/>
      <w14:ligatures w14:val="none"/>
    </w:rPr>
  </w:style>
  <w:style w:type="character" w:customStyle="1" w:styleId="55">
    <w:name w:val="批注主题 字符"/>
    <w:basedOn w:val="47"/>
    <w:link w:val="8"/>
    <w:qFormat/>
    <w:uiPriority w:val="99"/>
    <w:rPr>
      <w:rFonts w:ascii="宋体" w:hAnsi="Times New Roman" w:eastAsia="宋体" w:cs="Times New Roman"/>
      <w:b/>
      <w:bCs/>
      <w:sz w:val="24"/>
      <w:szCs w:val="24"/>
      <w14:ligatures w14:val="none"/>
    </w:rPr>
  </w:style>
  <w:style w:type="character" w:customStyle="1" w:styleId="56">
    <w:name w:val="表格 字符"/>
    <w:link w:val="57"/>
    <w:qFormat/>
    <w:uiPriority w:val="0"/>
    <w:rPr>
      <w:rFonts w:ascii="Times New Roman" w:hAnsi="Times New Roman"/>
    </w:rPr>
  </w:style>
  <w:style w:type="paragraph" w:customStyle="1" w:styleId="57">
    <w:name w:val="表格"/>
    <w:link w:val="56"/>
    <w:qFormat/>
    <w:uiPriority w:val="0"/>
    <w:pPr>
      <w:spacing w:line="240" w:lineRule="exact"/>
      <w:jc w:val="center"/>
    </w:pPr>
    <w:rPr>
      <w:rFonts w:ascii="Times New Roman" w:hAnsi="Times New Roman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customStyle="1" w:styleId="58">
    <w:name w:val="表格标题 Char"/>
    <w:link w:val="59"/>
    <w:qFormat/>
    <w:uiPriority w:val="0"/>
    <w:rPr>
      <w:sz w:val="28"/>
      <w:szCs w:val="28"/>
    </w:rPr>
  </w:style>
  <w:style w:type="paragraph" w:customStyle="1" w:styleId="59">
    <w:name w:val="表格标题"/>
    <w:basedOn w:val="1"/>
    <w:link w:val="58"/>
    <w:qFormat/>
    <w:uiPriority w:val="0"/>
    <w:pPr>
      <w:numPr>
        <w:ilvl w:val="6"/>
        <w:numId w:val="1"/>
      </w:numPr>
      <w:spacing w:line="0" w:lineRule="atLeast"/>
      <w:ind w:left="0" w:firstLineChars="0"/>
      <w:jc w:val="center"/>
    </w:pPr>
    <w:rPr>
      <w:rFonts w:asciiTheme="minorHAnsi" w:hAnsiTheme="minorHAnsi" w:eastAsiaTheme="minorEastAsia" w:cstheme="minorBidi"/>
      <w:szCs w:val="28"/>
      <w14:ligatures w14:val="standardContextual"/>
    </w:rPr>
  </w:style>
  <w:style w:type="character" w:customStyle="1" w:styleId="60">
    <w:name w:val="xzw Char"/>
    <w:link w:val="61"/>
    <w:qFormat/>
    <w:uiPriority w:val="0"/>
    <w:rPr>
      <w:rFonts w:ascii="宋体" w:hAnsi="宋体"/>
      <w:sz w:val="28"/>
      <w:szCs w:val="28"/>
    </w:rPr>
  </w:style>
  <w:style w:type="paragraph" w:customStyle="1" w:styleId="61">
    <w:name w:val="xzw"/>
    <w:basedOn w:val="1"/>
    <w:link w:val="60"/>
    <w:uiPriority w:val="0"/>
    <w:pPr>
      <w:spacing w:after="120" w:afterLines="50" w:line="520" w:lineRule="exact"/>
      <w:ind w:firstLine="560"/>
    </w:pPr>
    <w:rPr>
      <w:rFonts w:ascii="宋体" w:hAnsi="宋体" w:eastAsiaTheme="minorEastAsia" w:cstheme="minorBidi"/>
      <w:szCs w:val="28"/>
      <w14:ligatures w14:val="standardContextual"/>
    </w:rPr>
  </w:style>
  <w:style w:type="character" w:customStyle="1" w:styleId="62">
    <w:name w:val="表格编号 字符"/>
    <w:link w:val="63"/>
    <w:qFormat/>
    <w:uiPriority w:val="0"/>
    <w:rPr>
      <w:rFonts w:ascii="黑体" w:hAnsi="黑体" w:eastAsia="黑体"/>
      <w:sz w:val="28"/>
    </w:rPr>
  </w:style>
  <w:style w:type="paragraph" w:customStyle="1" w:styleId="63">
    <w:name w:val="表格编号"/>
    <w:basedOn w:val="57"/>
    <w:link w:val="62"/>
    <w:qFormat/>
    <w:uiPriority w:val="0"/>
    <w:pPr>
      <w:numPr>
        <w:ilvl w:val="3"/>
        <w:numId w:val="2"/>
      </w:numPr>
      <w:spacing w:line="240" w:lineRule="auto"/>
      <w:ind w:left="0" w:firstLine="0"/>
    </w:pPr>
    <w:rPr>
      <w:rFonts w:ascii="黑体" w:hAnsi="黑体" w:eastAsia="黑体"/>
      <w:sz w:val="28"/>
    </w:rPr>
  </w:style>
  <w:style w:type="character" w:customStyle="1" w:styleId="64">
    <w:name w:val="无间隔 Char"/>
    <w:link w:val="65"/>
    <w:qFormat/>
    <w:uiPriority w:val="1"/>
    <w:rPr>
      <w:sz w:val="24"/>
    </w:rPr>
  </w:style>
  <w:style w:type="paragraph" w:customStyle="1" w:styleId="65">
    <w:name w:val="无间隔1"/>
    <w:link w:val="64"/>
    <w:qFormat/>
    <w:uiPriority w:val="1"/>
    <w:pPr>
      <w:spacing w:line="0" w:lineRule="atLeast"/>
      <w:jc w:val="center"/>
    </w:pPr>
    <w:rPr>
      <w:rFonts w:asciiTheme="minorHAnsi" w:hAnsiTheme="minorHAnsi" w:eastAsiaTheme="minorEastAsia" w:cstheme="minorBidi"/>
      <w:kern w:val="2"/>
      <w:sz w:val="24"/>
      <w:szCs w:val="22"/>
      <w:lang w:val="en-US" w:eastAsia="zh-CN" w:bidi="ar-SA"/>
      <w14:ligatures w14:val="standardContextual"/>
    </w:rPr>
  </w:style>
  <w:style w:type="character" w:customStyle="1" w:styleId="66">
    <w:name w:val="批注文字 Char1"/>
    <w:semiHidden/>
    <w:qFormat/>
    <w:uiPriority w:val="99"/>
    <w:rPr>
      <w:rFonts w:ascii="宋体" w:hAnsi="Times New Roman"/>
      <w:kern w:val="2"/>
      <w:sz w:val="28"/>
      <w:szCs w:val="24"/>
    </w:rPr>
  </w:style>
  <w:style w:type="character" w:customStyle="1" w:styleId="67">
    <w:name w:val="正文样式 Char"/>
    <w:link w:val="68"/>
    <w:qFormat/>
    <w:uiPriority w:val="0"/>
    <w:rPr>
      <w:rFonts w:cs="宋体"/>
      <w:sz w:val="28"/>
    </w:rPr>
  </w:style>
  <w:style w:type="paragraph" w:customStyle="1" w:styleId="68">
    <w:name w:val="正文样式"/>
    <w:basedOn w:val="1"/>
    <w:link w:val="67"/>
    <w:qFormat/>
    <w:uiPriority w:val="0"/>
    <w:pPr>
      <w:adjustRightInd w:val="0"/>
      <w:snapToGrid w:val="0"/>
      <w:spacing w:line="500" w:lineRule="exact"/>
      <w:ind w:firstLine="560"/>
    </w:pPr>
    <w:rPr>
      <w:rFonts w:cs="宋体" w:asciiTheme="minorHAnsi" w:hAnsiTheme="minorHAnsi" w:eastAsiaTheme="minorEastAsia"/>
      <w:szCs w:val="22"/>
      <w14:ligatures w14:val="standardContextual"/>
    </w:rPr>
  </w:style>
  <w:style w:type="character" w:customStyle="1" w:styleId="69">
    <w:name w:val="正文格式 Char"/>
    <w:link w:val="70"/>
    <w:qFormat/>
    <w:uiPriority w:val="0"/>
    <w:rPr>
      <w:sz w:val="28"/>
      <w:szCs w:val="24"/>
    </w:rPr>
  </w:style>
  <w:style w:type="paragraph" w:customStyle="1" w:styleId="70">
    <w:name w:val="正文格式"/>
    <w:basedOn w:val="1"/>
    <w:link w:val="69"/>
    <w:qFormat/>
    <w:uiPriority w:val="0"/>
    <w:pPr>
      <w:adjustRightInd w:val="0"/>
      <w:snapToGrid w:val="0"/>
      <w:spacing w:line="324" w:lineRule="auto"/>
    </w:pPr>
    <w:rPr>
      <w:rFonts w:asciiTheme="minorHAnsi" w:hAnsiTheme="minorHAnsi" w:eastAsiaTheme="minorEastAsia" w:cstheme="minorBidi"/>
      <w14:ligatures w14:val="standardContextual"/>
    </w:rPr>
  </w:style>
  <w:style w:type="character" w:customStyle="1" w:styleId="71">
    <w:name w:val="表格 Char"/>
    <w:qFormat/>
    <w:uiPriority w:val="0"/>
    <w:rPr>
      <w:rFonts w:ascii="Times New Roman" w:hAnsi="Times New Roman"/>
      <w:kern w:val="2"/>
      <w:sz w:val="24"/>
      <w:szCs w:val="28"/>
    </w:rPr>
  </w:style>
  <w:style w:type="character" w:customStyle="1" w:styleId="72">
    <w:name w:val="纯文本 Char"/>
    <w:qFormat/>
    <w:uiPriority w:val="0"/>
    <w:rPr>
      <w:rFonts w:ascii="宋体" w:hAnsi="Courier New"/>
      <w:kern w:val="2"/>
      <w:sz w:val="21"/>
    </w:rPr>
  </w:style>
  <w:style w:type="character" w:customStyle="1" w:styleId="73">
    <w:name w:val="表格编号 Char"/>
    <w:qFormat/>
    <w:uiPriority w:val="0"/>
    <w:rPr>
      <w:rFonts w:ascii="黑体" w:hAnsi="黑体" w:eastAsia="黑体"/>
      <w:color w:val="000000"/>
      <w:sz w:val="24"/>
      <w:szCs w:val="24"/>
    </w:rPr>
  </w:style>
  <w:style w:type="character" w:customStyle="1" w:styleId="74">
    <w:name w:val="图片 字符"/>
    <w:link w:val="75"/>
    <w:qFormat/>
    <w:uiPriority w:val="0"/>
    <w:rPr>
      <w:rFonts w:ascii="Times New Roman" w:hAnsi="Times New Roman" w:eastAsia="仿宋_GB2312"/>
      <w:szCs w:val="28"/>
    </w:rPr>
  </w:style>
  <w:style w:type="paragraph" w:customStyle="1" w:styleId="75">
    <w:name w:val="图片"/>
    <w:basedOn w:val="1"/>
    <w:link w:val="74"/>
    <w:qFormat/>
    <w:uiPriority w:val="0"/>
    <w:pPr>
      <w:spacing w:line="0" w:lineRule="atLeast"/>
      <w:ind w:firstLine="0" w:firstLineChars="0"/>
      <w:jc w:val="center"/>
    </w:pPr>
    <w:rPr>
      <w:rFonts w:eastAsia="仿宋_GB2312" w:cstheme="minorBidi"/>
      <w:sz w:val="21"/>
      <w:szCs w:val="28"/>
      <w14:ligatures w14:val="standardContextual"/>
    </w:rPr>
  </w:style>
  <w:style w:type="character" w:customStyle="1" w:styleId="76">
    <w:name w:val="图片标题 字符"/>
    <w:link w:val="77"/>
    <w:qFormat/>
    <w:uiPriority w:val="0"/>
    <w:rPr>
      <w:rFonts w:eastAsia="黑体"/>
      <w:sz w:val="24"/>
    </w:rPr>
  </w:style>
  <w:style w:type="paragraph" w:customStyle="1" w:styleId="77">
    <w:name w:val="图片标题"/>
    <w:basedOn w:val="1"/>
    <w:next w:val="1"/>
    <w:link w:val="76"/>
    <w:qFormat/>
    <w:uiPriority w:val="0"/>
    <w:pPr>
      <w:numPr>
        <w:ilvl w:val="7"/>
        <w:numId w:val="1"/>
      </w:numPr>
      <w:spacing w:line="0" w:lineRule="atLeast"/>
      <w:ind w:left="0" w:firstLineChars="0"/>
      <w:jc w:val="center"/>
    </w:pPr>
    <w:rPr>
      <w:rFonts w:eastAsia="黑体" w:asciiTheme="minorHAnsi" w:hAnsiTheme="minorHAnsi" w:cstheme="minorBidi"/>
      <w:sz w:val="24"/>
      <w:szCs w:val="22"/>
      <w14:ligatures w14:val="standardContextual"/>
    </w:rPr>
  </w:style>
  <w:style w:type="character" w:customStyle="1" w:styleId="78">
    <w:name w:val="本文正文 Char"/>
    <w:link w:val="79"/>
    <w:qFormat/>
    <w:uiPriority w:val="0"/>
    <w:rPr>
      <w:rFonts w:ascii="宋体" w:hAnsi="Times New Roman"/>
      <w:spacing w:val="10"/>
      <w:sz w:val="28"/>
      <w:szCs w:val="44"/>
    </w:rPr>
  </w:style>
  <w:style w:type="paragraph" w:customStyle="1" w:styleId="79">
    <w:name w:val="本文正文"/>
    <w:basedOn w:val="1"/>
    <w:link w:val="78"/>
    <w:qFormat/>
    <w:uiPriority w:val="0"/>
    <w:pPr>
      <w:tabs>
        <w:tab w:val="left" w:pos="4500"/>
      </w:tabs>
      <w:adjustRightInd w:val="0"/>
      <w:snapToGrid w:val="0"/>
      <w:spacing w:line="360" w:lineRule="auto"/>
      <w:jc w:val="left"/>
    </w:pPr>
    <w:rPr>
      <w:rFonts w:ascii="宋体" w:eastAsiaTheme="minorEastAsia" w:cstheme="minorBidi"/>
      <w:spacing w:val="10"/>
      <w:szCs w:val="44"/>
      <w14:ligatures w14:val="standardContextual"/>
    </w:rPr>
  </w:style>
  <w:style w:type="character" w:customStyle="1" w:styleId="80">
    <w:name w:val="表格标题 字符"/>
    <w:qFormat/>
    <w:uiPriority w:val="0"/>
    <w:rPr>
      <w:rFonts w:ascii="Times New Roman" w:hAnsi="Times New Roman" w:eastAsia="黑体"/>
      <w:kern w:val="2"/>
      <w:sz w:val="24"/>
      <w:szCs w:val="22"/>
    </w:rPr>
  </w:style>
  <w:style w:type="character" w:customStyle="1" w:styleId="81">
    <w:name w:val="font121"/>
    <w:qFormat/>
    <w:uiPriority w:val="0"/>
    <w:rPr>
      <w:rFonts w:hint="default" w:ascii="Times New Roman" w:hAnsi="Times New Roman" w:cs="Times New Roman"/>
      <w:i/>
      <w:iCs/>
      <w:color w:val="333333"/>
      <w:sz w:val="24"/>
      <w:szCs w:val="24"/>
      <w:u w:val="none"/>
    </w:rPr>
  </w:style>
  <w:style w:type="character" w:customStyle="1" w:styleId="82">
    <w:name w:val="font21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83">
    <w:name w:val="Unresolved Mention"/>
    <w:unhideWhenUsed/>
    <w:qFormat/>
    <w:uiPriority w:val="99"/>
    <w:rPr>
      <w:color w:val="605E5C"/>
      <w:shd w:val="clear" w:color="auto" w:fill="E1DFDD"/>
    </w:rPr>
  </w:style>
  <w:style w:type="paragraph" w:customStyle="1" w:styleId="84">
    <w:name w:val="章节标题"/>
    <w:basedOn w:val="2"/>
    <w:next w:val="1"/>
    <w:qFormat/>
    <w:uiPriority w:val="0"/>
    <w:pPr>
      <w:numPr>
        <w:numId w:val="2"/>
      </w:numPr>
      <w:spacing w:before="258" w:beforeLines="50" w:after="258" w:afterLines="50"/>
    </w:pPr>
    <w:rPr>
      <w:rFonts w:ascii="黑体"/>
      <w:b w:val="0"/>
      <w:color w:val="7030A0"/>
      <w:sz w:val="36"/>
    </w:rPr>
  </w:style>
  <w:style w:type="paragraph" w:customStyle="1" w:styleId="85">
    <w:name w:val="List Paragraph"/>
    <w:basedOn w:val="1"/>
    <w:qFormat/>
    <w:uiPriority w:val="1"/>
    <w:pPr>
      <w:ind w:firstLine="420"/>
    </w:pPr>
  </w:style>
  <w:style w:type="paragraph" w:customStyle="1" w:styleId="86">
    <w:name w:val="msonormal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cs="宋体"/>
      <w:kern w:val="0"/>
      <w:sz w:val="24"/>
    </w:rPr>
  </w:style>
  <w:style w:type="paragraph" w:customStyle="1" w:styleId="87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kern w:val="0"/>
      <w:sz w:val="24"/>
      <w:szCs w:val="24"/>
      <w:lang w:val="en-US" w:eastAsia="zh-CN" w:bidi="ar-SA"/>
      <w14:ligatures w14:val="none"/>
    </w:rPr>
  </w:style>
  <w:style w:type="paragraph" w:customStyle="1" w:styleId="88">
    <w:name w:val="表内文字"/>
    <w:basedOn w:val="1"/>
    <w:qFormat/>
    <w:uiPriority w:val="0"/>
    <w:pPr>
      <w:adjustRightInd w:val="0"/>
      <w:snapToGrid w:val="0"/>
      <w:ind w:firstLine="0" w:firstLineChars="0"/>
      <w:jc w:val="center"/>
    </w:pPr>
    <w:rPr>
      <w:sz w:val="21"/>
      <w:szCs w:val="21"/>
    </w:rPr>
  </w:style>
  <w:style w:type="paragraph" w:customStyle="1" w:styleId="89">
    <w:name w:val="默认段落字体 Para Char Char Char Char"/>
    <w:basedOn w:val="1"/>
    <w:qFormat/>
    <w:uiPriority w:val="0"/>
    <w:pPr>
      <w:snapToGrid w:val="0"/>
      <w:spacing w:line="360" w:lineRule="auto"/>
    </w:pPr>
  </w:style>
  <w:style w:type="paragraph" w:customStyle="1" w:styleId="90">
    <w:name w:val="font5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91">
    <w:name w:val="表5号"/>
    <w:basedOn w:val="1"/>
    <w:uiPriority w:val="0"/>
    <w:pPr>
      <w:spacing w:line="240" w:lineRule="exact"/>
      <w:ind w:firstLine="0" w:firstLineChars="0"/>
      <w:jc w:val="center"/>
    </w:pPr>
    <w:rPr>
      <w:rFonts w:hAnsi="宋体"/>
      <w:sz w:val="21"/>
      <w:szCs w:val="21"/>
    </w:rPr>
  </w:style>
  <w:style w:type="paragraph" w:customStyle="1" w:styleId="92">
    <w:name w:val="xl63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center"/>
    </w:pPr>
    <w:rPr>
      <w:rFonts w:ascii="宋体" w:hAnsi="宋体" w:cs="宋体"/>
      <w:kern w:val="0"/>
      <w:sz w:val="24"/>
    </w:rPr>
  </w:style>
  <w:style w:type="paragraph" w:customStyle="1" w:styleId="93">
    <w:name w:val="表头"/>
    <w:basedOn w:val="1"/>
    <w:qFormat/>
    <w:uiPriority w:val="0"/>
    <w:pPr>
      <w:spacing w:line="360" w:lineRule="auto"/>
      <w:ind w:firstLine="0" w:firstLineChars="0"/>
      <w:jc w:val="center"/>
    </w:pPr>
    <w:rPr>
      <w:rFonts w:eastAsia="黑体" w:cs="宋体"/>
      <w:bCs/>
      <w:sz w:val="24"/>
      <w:szCs w:val="20"/>
    </w:rPr>
  </w:style>
  <w:style w:type="paragraph" w:customStyle="1" w:styleId="94">
    <w:name w:val="默认段落字体 Para Char Char Char Char Char Char Char Char Char Char Char Char Char"/>
    <w:basedOn w:val="1"/>
    <w:qFormat/>
    <w:uiPriority w:val="0"/>
    <w:pPr>
      <w:snapToGrid w:val="0"/>
      <w:spacing w:line="360" w:lineRule="auto"/>
    </w:pPr>
    <w:rPr>
      <w:rFonts w:eastAsia="仿宋_GB2312"/>
      <w:sz w:val="24"/>
    </w:rPr>
  </w:style>
  <w:style w:type="paragraph" w:customStyle="1" w:styleId="95">
    <w:name w:val="xwz标题"/>
    <w:basedOn w:val="1"/>
    <w:qFormat/>
    <w:uiPriority w:val="0"/>
    <w:pPr>
      <w:spacing w:after="156" w:afterLines="50" w:line="520" w:lineRule="exact"/>
      <w:ind w:firstLine="562"/>
    </w:pPr>
    <w:rPr>
      <w:rFonts w:hAnsi="宋体"/>
      <w:b/>
      <w:kern w:val="0"/>
      <w:szCs w:val="28"/>
    </w:rPr>
  </w:style>
  <w:style w:type="paragraph" w:customStyle="1" w:styleId="96">
    <w:name w:val="0正文文本及"/>
    <w:qFormat/>
    <w:uiPriority w:val="0"/>
    <w:pPr>
      <w:spacing w:line="560" w:lineRule="exact"/>
      <w:ind w:firstLine="560" w:firstLineChars="200"/>
      <w:jc w:val="both"/>
    </w:pPr>
    <w:rPr>
      <w:rFonts w:ascii="Times New Roman" w:hAnsi="Times New Roman" w:eastAsia="宋体" w:cs="Times New Roman"/>
      <w:kern w:val="2"/>
      <w:sz w:val="28"/>
      <w:szCs w:val="28"/>
      <w:shd w:val="clear" w:color="auto" w:fill="FFFFFF"/>
      <w:lang w:val="en-US" w:eastAsia="zh-CN" w:bidi="ar-SA"/>
      <w14:ligatures w14:val="none"/>
    </w:rPr>
  </w:style>
  <w:style w:type="paragraph" w:customStyle="1" w:styleId="97">
    <w:name w:val="TOC Heading"/>
    <w:basedOn w:val="2"/>
    <w:next w:val="1"/>
    <w:qFormat/>
    <w:uiPriority w:val="39"/>
    <w:pPr>
      <w:pageBreakBefore w:val="0"/>
      <w:widowControl/>
      <w:numPr>
        <w:numId w:val="0"/>
      </w:numPr>
      <w:spacing w:before="240" w:after="0" w:line="259" w:lineRule="auto"/>
      <w:jc w:val="left"/>
      <w:outlineLvl w:val="9"/>
    </w:pPr>
    <w:rPr>
      <w:rFonts w:ascii="等线 Light" w:hAnsi="等线 Light" w:eastAsia="等线 Light"/>
      <w:b w:val="0"/>
      <w:bCs w:val="0"/>
      <w:color w:val="2E74B5"/>
      <w:kern w:val="0"/>
      <w:szCs w:val="32"/>
    </w:rPr>
  </w:style>
  <w:style w:type="paragraph" w:customStyle="1" w:styleId="98">
    <w:name w:val="正文内容"/>
    <w:basedOn w:val="18"/>
    <w:uiPriority w:val="0"/>
    <w:pPr>
      <w:spacing w:line="470" w:lineRule="exact"/>
    </w:pPr>
    <w:rPr>
      <w:rFonts w:hAnsi="宋体" w:cs="宋体"/>
      <w:sz w:val="28"/>
      <w:szCs w:val="28"/>
    </w:rPr>
  </w:style>
  <w:style w:type="paragraph" w:customStyle="1" w:styleId="99">
    <w:name w:val="默认段落字体 Para Char Char Char Char Char Char Char Char Char Char"/>
    <w:basedOn w:val="1"/>
    <w:qFormat/>
    <w:uiPriority w:val="0"/>
    <w:pPr>
      <w:adjustRightInd w:val="0"/>
      <w:spacing w:line="360" w:lineRule="atLeast"/>
      <w:ind w:firstLine="880"/>
      <w:textAlignment w:val="baseline"/>
    </w:pPr>
  </w:style>
  <w:style w:type="paragraph" w:customStyle="1" w:styleId="100">
    <w:name w:val="xl6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101">
    <w:name w:val="Table Paragraph"/>
    <w:basedOn w:val="1"/>
    <w:qFormat/>
    <w:uiPriority w:val="1"/>
    <w:pPr>
      <w:spacing w:line="360" w:lineRule="auto"/>
    </w:pPr>
    <w:rPr>
      <w:rFonts w:ascii="仿宋_GB2312" w:hAnsi="仿宋_GB2312" w:eastAsia="仿宋_GB2312" w:cs="仿宋_GB2312"/>
      <w:sz w:val="32"/>
      <w:lang w:val="zh-CN" w:bidi="zh-CN"/>
    </w:rPr>
  </w:style>
  <w:style w:type="paragraph" w:customStyle="1" w:styleId="102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103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104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105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</w:pPr>
    <w:rPr>
      <w:rFonts w:ascii="宋体" w:hAnsi="宋体" w:cs="宋体"/>
      <w:kern w:val="0"/>
      <w:sz w:val="24"/>
    </w:rPr>
  </w:style>
  <w:style w:type="paragraph" w:customStyle="1" w:styleId="106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107">
    <w:name w:val="xl7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108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109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110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  <w:textAlignment w:val="center"/>
    </w:pPr>
    <w:rPr>
      <w:rFonts w:ascii="仿宋_GB2312" w:hAnsi="宋体" w:eastAsia="仿宋_GB2312" w:cs="宋体"/>
      <w:kern w:val="0"/>
      <w:sz w:val="24"/>
    </w:rPr>
  </w:style>
  <w:style w:type="paragraph" w:customStyle="1" w:styleId="111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  <w:textAlignment w:val="center"/>
    </w:pPr>
    <w:rPr>
      <w:rFonts w:ascii="宋体" w:hAnsi="宋体" w:cs="宋体"/>
      <w:color w:val="FF0000"/>
      <w:kern w:val="0"/>
      <w:sz w:val="24"/>
    </w:rPr>
  </w:style>
  <w:style w:type="paragraph" w:customStyle="1" w:styleId="112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ind w:firstLine="0" w:firstLineChars="0"/>
      <w:jc w:val="left"/>
      <w:textAlignment w:val="center"/>
    </w:pPr>
    <w:rPr>
      <w:rFonts w:ascii="宋体" w:hAnsi="宋体" w:cs="宋体"/>
      <w:color w:val="FF0000"/>
      <w:kern w:val="0"/>
      <w:sz w:val="24"/>
    </w:rPr>
  </w:style>
  <w:style w:type="paragraph" w:customStyle="1" w:styleId="113">
    <w:name w:val="Table Text"/>
    <w:basedOn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spacing w:after="160"/>
      <w:ind w:firstLine="0" w:firstLineChars="0"/>
      <w:jc w:val="left"/>
      <w:textAlignment w:val="baseline"/>
    </w:pPr>
    <w:rPr>
      <w:rFonts w:ascii="宋体" w:hAnsi="宋体" w:cs="宋体"/>
      <w:snapToGrid w:val="0"/>
      <w:color w:val="000000"/>
      <w:kern w:val="0"/>
      <w:sz w:val="29"/>
      <w:szCs w:val="29"/>
      <w:lang w:eastAsia="en-US"/>
    </w:rPr>
  </w:style>
  <w:style w:type="paragraph" w:customStyle="1" w:styleId="114">
    <w:name w:val="_Style 70"/>
    <w:basedOn w:val="1"/>
    <w:next w:val="85"/>
    <w:qFormat/>
    <w:uiPriority w:val="0"/>
    <w:pPr>
      <w:ind w:firstLine="420"/>
    </w:pPr>
  </w:style>
  <w:style w:type="character" w:customStyle="1" w:styleId="115">
    <w:name w:val="font61"/>
    <w:qFormat/>
    <w:uiPriority w:val="0"/>
    <w:rPr>
      <w:rFonts w:hint="default" w:ascii="仿宋_GB2312" w:eastAsia="仿宋_GB2312" w:cs="仿宋_GB2312"/>
      <w:color w:val="000000"/>
      <w:sz w:val="22"/>
      <w:szCs w:val="22"/>
      <w:u w:val="none"/>
      <w:vertAlign w:val="superscript"/>
    </w:rPr>
  </w:style>
  <w:style w:type="character" w:customStyle="1" w:styleId="116">
    <w:name w:val="font11"/>
    <w:qFormat/>
    <w:uiPriority w:val="0"/>
    <w:rPr>
      <w:rFonts w:hint="eastAsia" w:ascii="等线" w:hAnsi="等线" w:eastAsia="等线" w:cs="等线"/>
      <w:color w:val="000000"/>
      <w:sz w:val="22"/>
      <w:szCs w:val="22"/>
      <w:u w:val="none"/>
    </w:rPr>
  </w:style>
  <w:style w:type="character" w:customStyle="1" w:styleId="117">
    <w:name w:val="font41"/>
    <w:uiPriority w:val="0"/>
    <w:rPr>
      <w:rFonts w:ascii="Segoe UI Symbol" w:hAnsi="Segoe UI Symbol" w:eastAsia="Segoe UI Symbol" w:cs="Segoe UI Symbol"/>
      <w:color w:val="000000"/>
      <w:sz w:val="22"/>
      <w:szCs w:val="22"/>
      <w:u w:val="none"/>
    </w:rPr>
  </w:style>
  <w:style w:type="table" w:customStyle="1" w:styleId="118">
    <w:name w:val="Table Normal"/>
    <w:unhideWhenUsed/>
    <w:qFormat/>
    <w:uiPriority w:val="2"/>
    <w:rPr>
      <w:rFonts w:ascii="Arial" w:hAnsi="Arial" w:eastAsia="宋体" w:cs="Arial"/>
      <w:kern w:val="0"/>
      <w:sz w:val="20"/>
      <w:szCs w:val="20"/>
      <w14:ligatures w14:val="none"/>
    </w:rPr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70BB2E6-CB0B-42A3-B090-AEA538A4D86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740</Words>
  <Characters>4221</Characters>
  <Lines>35</Lines>
  <Paragraphs>9</Paragraphs>
  <ScaleCrop>false</ScaleCrop>
  <LinksUpToDate>false</LinksUpToDate>
  <CharactersWithSpaces>4952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2026-03-31T02:18:00Z</dcterms:created>
  <dc:creator>lenovo</dc:creator>
  <cp:lastModifiedBy>lenovo</cp:lastModifiedBy>
  <cp:lastPrinted>2026-04-07T07:15:01Z</cp:lastPrinted>
  <dcterms:modified xsi:type="dcterms:W3CDTF">2026-04-07T07:19:50Z</dcterms:modified>
  <dc:title>2026年度石家庄市小水库维养（管护部分）</dc:title>
  <cp:revision>524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