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013205">
      <w:pPr>
        <w:pStyle w:val="5"/>
        <w:widowControl/>
        <w:shd w:val="clear" w:color="auto" w:fill="FFFFFF"/>
        <w:spacing w:beforeAutospacing="0" w:afterAutospacing="0" w:line="360" w:lineRule="auto"/>
        <w:jc w:val="both"/>
        <w:rPr>
          <w:rFonts w:ascii="宋体" w:hAnsi="宋体" w:cs="宋体"/>
          <w:b/>
          <w:bCs/>
          <w:color w:val="000000"/>
          <w:sz w:val="32"/>
          <w:szCs w:val="32"/>
        </w:rPr>
      </w:pPr>
      <w:r>
        <w:rPr>
          <w:rFonts w:hint="eastAsia" w:ascii="宋体" w:hAnsi="宋体" w:cs="宋体"/>
          <w:b/>
          <w:bCs/>
          <w:color w:val="000000"/>
          <w:sz w:val="32"/>
          <w:szCs w:val="32"/>
        </w:rPr>
        <w:t>附件2：评审办法</w:t>
      </w:r>
    </w:p>
    <w:p w14:paraId="0B4F1152">
      <w:pPr>
        <w:pStyle w:val="5"/>
        <w:widowControl/>
        <w:shd w:val="clear" w:color="auto" w:fill="FFFFFF"/>
        <w:spacing w:beforeAutospacing="0" w:afterAutospacing="0" w:line="360" w:lineRule="auto"/>
        <w:ind w:firstLine="640" w:firstLineChars="200"/>
        <w:jc w:val="both"/>
        <w:rPr>
          <w:rFonts w:ascii="仿宋" w:hAnsi="仿宋" w:eastAsia="仿宋" w:cs="仿宋"/>
          <w:color w:val="000000"/>
          <w:sz w:val="32"/>
          <w:szCs w:val="32"/>
        </w:rPr>
      </w:pPr>
      <w:r>
        <w:rPr>
          <w:rFonts w:ascii="仿宋" w:hAnsi="仿宋" w:eastAsia="仿宋" w:cs="仿宋"/>
          <w:color w:val="000000"/>
          <w:sz w:val="32"/>
          <w:szCs w:val="32"/>
        </w:rPr>
        <w:t>评审办法前附表</w:t>
      </w:r>
    </w:p>
    <w:tbl>
      <w:tblPr>
        <w:tblStyle w:val="6"/>
        <w:tblW w:w="905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87"/>
        <w:gridCol w:w="1049"/>
        <w:gridCol w:w="1275"/>
        <w:gridCol w:w="8"/>
        <w:gridCol w:w="5939"/>
      </w:tblGrid>
      <w:tr w14:paraId="2196153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1836" w:type="dxa"/>
            <w:gridSpan w:val="2"/>
            <w:tcBorders>
              <w:top w:val="single" w:color="auto" w:sz="4" w:space="0"/>
              <w:bottom w:val="single" w:color="auto" w:sz="4" w:space="0"/>
              <w:right w:val="single" w:color="auto" w:sz="4" w:space="0"/>
            </w:tcBorders>
            <w:vAlign w:val="center"/>
          </w:tcPr>
          <w:p w14:paraId="656C2860">
            <w:pPr>
              <w:adjustRightInd w:val="0"/>
              <w:snapToGrid w:val="0"/>
              <w:jc w:val="center"/>
              <w:rPr>
                <w:rFonts w:ascii="宋体" w:hAnsi="宋体" w:cs="宋体"/>
                <w:b/>
                <w:bCs/>
                <w:szCs w:val="21"/>
              </w:rPr>
            </w:pPr>
            <w:r>
              <w:rPr>
                <w:rFonts w:hint="eastAsia" w:ascii="宋体" w:hAnsi="宋体" w:cs="宋体"/>
                <w:b/>
                <w:bCs/>
                <w:szCs w:val="21"/>
              </w:rPr>
              <w:t>条款号</w:t>
            </w:r>
          </w:p>
        </w:tc>
        <w:tc>
          <w:tcPr>
            <w:tcW w:w="1275" w:type="dxa"/>
            <w:tcBorders>
              <w:top w:val="single" w:color="auto" w:sz="4" w:space="0"/>
              <w:left w:val="single" w:color="auto" w:sz="4" w:space="0"/>
              <w:bottom w:val="single" w:color="auto" w:sz="4" w:space="0"/>
              <w:right w:val="single" w:color="auto" w:sz="4" w:space="0"/>
            </w:tcBorders>
            <w:vAlign w:val="center"/>
          </w:tcPr>
          <w:p w14:paraId="1331FD3B">
            <w:pPr>
              <w:adjustRightInd w:val="0"/>
              <w:snapToGrid w:val="0"/>
              <w:jc w:val="center"/>
              <w:rPr>
                <w:rFonts w:ascii="宋体" w:hAnsi="宋体" w:cs="宋体"/>
                <w:b/>
                <w:bCs/>
                <w:szCs w:val="21"/>
              </w:rPr>
            </w:pPr>
            <w:r>
              <w:rPr>
                <w:rFonts w:hint="eastAsia" w:ascii="宋体" w:hAnsi="宋体" w:cs="宋体"/>
                <w:b/>
                <w:bCs/>
                <w:szCs w:val="21"/>
              </w:rPr>
              <w:t>评审因素</w:t>
            </w:r>
          </w:p>
        </w:tc>
        <w:tc>
          <w:tcPr>
            <w:tcW w:w="5947" w:type="dxa"/>
            <w:gridSpan w:val="2"/>
            <w:tcBorders>
              <w:top w:val="single" w:color="auto" w:sz="4" w:space="0"/>
              <w:left w:val="single" w:color="auto" w:sz="4" w:space="0"/>
              <w:bottom w:val="single" w:color="auto" w:sz="4" w:space="0"/>
            </w:tcBorders>
            <w:vAlign w:val="center"/>
          </w:tcPr>
          <w:p w14:paraId="5411D6A8">
            <w:pPr>
              <w:adjustRightInd w:val="0"/>
              <w:snapToGrid w:val="0"/>
              <w:jc w:val="center"/>
              <w:rPr>
                <w:rFonts w:ascii="宋体" w:hAnsi="宋体" w:cs="宋体"/>
                <w:b/>
                <w:bCs/>
                <w:szCs w:val="21"/>
              </w:rPr>
            </w:pPr>
            <w:r>
              <w:rPr>
                <w:rFonts w:hint="eastAsia" w:ascii="宋体" w:hAnsi="宋体" w:cs="宋体"/>
                <w:b/>
                <w:bCs/>
                <w:szCs w:val="21"/>
              </w:rPr>
              <w:t>评审标准</w:t>
            </w:r>
          </w:p>
        </w:tc>
      </w:tr>
      <w:tr w14:paraId="261A8F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469" w:hRule="atLeast"/>
          <w:jc w:val="center"/>
        </w:trPr>
        <w:tc>
          <w:tcPr>
            <w:tcW w:w="787" w:type="dxa"/>
            <w:tcBorders>
              <w:top w:val="single" w:color="auto" w:sz="4" w:space="0"/>
              <w:bottom w:val="single" w:color="auto" w:sz="4" w:space="0"/>
              <w:right w:val="single" w:color="auto" w:sz="4" w:space="0"/>
            </w:tcBorders>
            <w:vAlign w:val="center"/>
          </w:tcPr>
          <w:p w14:paraId="3C74CE99">
            <w:pPr>
              <w:adjustRightInd w:val="0"/>
              <w:snapToGrid w:val="0"/>
              <w:jc w:val="center"/>
              <w:rPr>
                <w:rFonts w:ascii="宋体" w:hAnsi="宋体" w:cs="宋体"/>
                <w:szCs w:val="21"/>
              </w:rPr>
            </w:pPr>
            <w:r>
              <w:rPr>
                <w:rFonts w:hint="eastAsia" w:ascii="宋体" w:hAnsi="宋体" w:cs="宋体"/>
                <w:szCs w:val="21"/>
              </w:rPr>
              <w:t>1</w:t>
            </w:r>
          </w:p>
        </w:tc>
        <w:tc>
          <w:tcPr>
            <w:tcW w:w="1049" w:type="dxa"/>
            <w:tcBorders>
              <w:top w:val="single" w:color="auto" w:sz="4" w:space="0"/>
              <w:bottom w:val="single" w:color="auto" w:sz="4" w:space="0"/>
              <w:right w:val="single" w:color="auto" w:sz="4" w:space="0"/>
            </w:tcBorders>
            <w:vAlign w:val="center"/>
          </w:tcPr>
          <w:p w14:paraId="256E9566">
            <w:pPr>
              <w:adjustRightInd w:val="0"/>
              <w:snapToGrid w:val="0"/>
              <w:jc w:val="center"/>
              <w:rPr>
                <w:rFonts w:ascii="宋体" w:hAnsi="宋体" w:cs="宋体"/>
                <w:szCs w:val="21"/>
              </w:rPr>
            </w:pPr>
            <w:r>
              <w:rPr>
                <w:rFonts w:hint="eastAsia" w:ascii="宋体" w:hAnsi="宋体" w:cs="宋体"/>
                <w:szCs w:val="21"/>
              </w:rPr>
              <w:t>评审方法</w:t>
            </w:r>
          </w:p>
        </w:tc>
        <w:tc>
          <w:tcPr>
            <w:tcW w:w="1275" w:type="dxa"/>
            <w:tcBorders>
              <w:top w:val="single" w:color="auto" w:sz="4" w:space="0"/>
              <w:left w:val="single" w:color="auto" w:sz="4" w:space="0"/>
              <w:bottom w:val="single" w:color="auto" w:sz="4" w:space="0"/>
              <w:right w:val="single" w:color="auto" w:sz="4" w:space="0"/>
            </w:tcBorders>
            <w:vAlign w:val="center"/>
          </w:tcPr>
          <w:p w14:paraId="03240AC7">
            <w:pPr>
              <w:adjustRightInd w:val="0"/>
              <w:snapToGrid w:val="0"/>
              <w:jc w:val="center"/>
              <w:rPr>
                <w:rFonts w:ascii="宋体" w:hAnsi="宋体" w:cs="宋体"/>
                <w:szCs w:val="21"/>
              </w:rPr>
            </w:pPr>
            <w:r>
              <w:rPr>
                <w:rFonts w:hint="eastAsia" w:ascii="宋体" w:hAnsi="宋体" w:cs="宋体"/>
                <w:szCs w:val="21"/>
              </w:rPr>
              <w:t>中选候选人排序方法</w:t>
            </w:r>
          </w:p>
        </w:tc>
        <w:tc>
          <w:tcPr>
            <w:tcW w:w="5947" w:type="dxa"/>
            <w:gridSpan w:val="2"/>
            <w:tcBorders>
              <w:top w:val="single" w:color="auto" w:sz="4" w:space="0"/>
              <w:left w:val="single" w:color="auto" w:sz="4" w:space="0"/>
              <w:bottom w:val="single" w:color="auto" w:sz="4" w:space="0"/>
            </w:tcBorders>
            <w:vAlign w:val="center"/>
          </w:tcPr>
          <w:p w14:paraId="3FD704F5">
            <w:pPr>
              <w:adjustRightInd w:val="0"/>
              <w:snapToGrid w:val="0"/>
              <w:textAlignment w:val="baseline"/>
              <w:outlineLvl w:val="0"/>
              <w:rPr>
                <w:rFonts w:ascii="宋体" w:hAnsi="宋体" w:cs="宋体"/>
                <w:b/>
                <w:szCs w:val="21"/>
              </w:rPr>
            </w:pPr>
            <w:r>
              <w:rPr>
                <w:rFonts w:hint="eastAsia" w:ascii="宋体" w:hAnsi="宋体" w:cs="宋体"/>
                <w:bCs/>
                <w:szCs w:val="21"/>
              </w:rPr>
              <w:t>按得分由高到低顺序推荐中选候选人，并标明排序；综合评分相等时，以询价报价低的优先；如果询价报价相同时，以技术服务方案评分标准得分高的优先；如果技术服务方案评分标准得分也相等，由评审委员会投票确定。</w:t>
            </w:r>
          </w:p>
        </w:tc>
      </w:tr>
      <w:tr w14:paraId="63867F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restart"/>
            <w:tcBorders>
              <w:top w:val="single" w:color="auto" w:sz="4" w:space="0"/>
              <w:bottom w:val="single" w:color="auto" w:sz="4" w:space="0"/>
              <w:right w:val="single" w:color="auto" w:sz="4" w:space="0"/>
            </w:tcBorders>
            <w:vAlign w:val="center"/>
          </w:tcPr>
          <w:p w14:paraId="09E19625">
            <w:pPr>
              <w:adjustRightInd w:val="0"/>
              <w:snapToGrid w:val="0"/>
              <w:jc w:val="center"/>
              <w:rPr>
                <w:rFonts w:ascii="宋体" w:hAnsi="宋体" w:cs="宋体"/>
                <w:szCs w:val="21"/>
              </w:rPr>
            </w:pPr>
            <w:r>
              <w:rPr>
                <w:rFonts w:hint="eastAsia" w:ascii="宋体" w:hAnsi="宋体" w:cs="宋体"/>
                <w:szCs w:val="21"/>
              </w:rPr>
              <w:t>2.1.1</w:t>
            </w:r>
          </w:p>
        </w:tc>
        <w:tc>
          <w:tcPr>
            <w:tcW w:w="1049" w:type="dxa"/>
            <w:vMerge w:val="restart"/>
            <w:tcBorders>
              <w:top w:val="single" w:color="auto" w:sz="4" w:space="0"/>
              <w:bottom w:val="single" w:color="auto" w:sz="4" w:space="0"/>
              <w:right w:val="single" w:color="auto" w:sz="4" w:space="0"/>
            </w:tcBorders>
            <w:vAlign w:val="center"/>
          </w:tcPr>
          <w:p w14:paraId="7B176D79">
            <w:pPr>
              <w:adjustRightInd w:val="0"/>
              <w:snapToGrid w:val="0"/>
              <w:jc w:val="center"/>
              <w:rPr>
                <w:rFonts w:ascii="宋体" w:hAnsi="宋体" w:cs="宋体"/>
                <w:szCs w:val="21"/>
              </w:rPr>
            </w:pPr>
            <w:r>
              <w:rPr>
                <w:rFonts w:hint="eastAsia" w:ascii="宋体" w:hAnsi="宋体" w:cs="宋体"/>
                <w:szCs w:val="21"/>
              </w:rPr>
              <w:t>形式评审标准</w:t>
            </w:r>
          </w:p>
        </w:tc>
        <w:tc>
          <w:tcPr>
            <w:tcW w:w="1275" w:type="dxa"/>
            <w:tcBorders>
              <w:top w:val="single" w:color="auto" w:sz="4" w:space="0"/>
              <w:left w:val="single" w:color="auto" w:sz="4" w:space="0"/>
              <w:bottom w:val="single" w:color="auto" w:sz="4" w:space="0"/>
              <w:right w:val="single" w:color="auto" w:sz="4" w:space="0"/>
            </w:tcBorders>
            <w:vAlign w:val="center"/>
          </w:tcPr>
          <w:p w14:paraId="49A495CB">
            <w:pPr>
              <w:adjustRightInd w:val="0"/>
              <w:snapToGrid w:val="0"/>
              <w:jc w:val="center"/>
              <w:rPr>
                <w:rFonts w:ascii="宋体" w:hAnsi="宋体" w:cs="宋体"/>
                <w:szCs w:val="21"/>
              </w:rPr>
            </w:pPr>
            <w:r>
              <w:rPr>
                <w:rFonts w:hint="eastAsia" w:ascii="宋体" w:hAnsi="宋体" w:cs="宋体"/>
                <w:szCs w:val="21"/>
              </w:rPr>
              <w:t>响应人名称</w:t>
            </w:r>
          </w:p>
        </w:tc>
        <w:tc>
          <w:tcPr>
            <w:tcW w:w="5947" w:type="dxa"/>
            <w:gridSpan w:val="2"/>
            <w:tcBorders>
              <w:top w:val="single" w:color="auto" w:sz="4" w:space="0"/>
              <w:left w:val="single" w:color="auto" w:sz="4" w:space="0"/>
              <w:bottom w:val="single" w:color="auto" w:sz="4" w:space="0"/>
            </w:tcBorders>
            <w:vAlign w:val="center"/>
          </w:tcPr>
          <w:p w14:paraId="69CB8C8F">
            <w:pPr>
              <w:adjustRightInd w:val="0"/>
              <w:snapToGrid w:val="0"/>
              <w:rPr>
                <w:rFonts w:ascii="宋体" w:hAnsi="宋体" w:cs="宋体"/>
                <w:szCs w:val="21"/>
              </w:rPr>
            </w:pPr>
            <w:r>
              <w:rPr>
                <w:rFonts w:hint="eastAsia" w:ascii="宋体" w:hAnsi="宋体" w:cs="宋体"/>
                <w:szCs w:val="21"/>
              </w:rPr>
              <w:t>与营业执照一致。</w:t>
            </w:r>
          </w:p>
        </w:tc>
      </w:tr>
      <w:tr w14:paraId="63FF00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834" w:hRule="atLeast"/>
          <w:jc w:val="center"/>
        </w:trPr>
        <w:tc>
          <w:tcPr>
            <w:tcW w:w="787" w:type="dxa"/>
            <w:vMerge w:val="continue"/>
            <w:tcBorders>
              <w:top w:val="nil"/>
              <w:bottom w:val="single" w:color="auto" w:sz="4" w:space="0"/>
              <w:right w:val="single" w:color="auto" w:sz="4" w:space="0"/>
            </w:tcBorders>
            <w:vAlign w:val="center"/>
          </w:tcPr>
          <w:p w14:paraId="04AFA01F">
            <w:pPr>
              <w:adjustRightInd w:val="0"/>
              <w:snapToGrid w:val="0"/>
              <w:rPr>
                <w:rFonts w:ascii="宋体" w:hAnsi="宋体" w:cs="宋体"/>
                <w:szCs w:val="21"/>
              </w:rPr>
            </w:pPr>
          </w:p>
        </w:tc>
        <w:tc>
          <w:tcPr>
            <w:tcW w:w="1049" w:type="dxa"/>
            <w:vMerge w:val="continue"/>
            <w:tcBorders>
              <w:top w:val="nil"/>
              <w:bottom w:val="single" w:color="auto" w:sz="4" w:space="0"/>
              <w:right w:val="single" w:color="auto" w:sz="4" w:space="0"/>
            </w:tcBorders>
            <w:vAlign w:val="center"/>
          </w:tcPr>
          <w:p w14:paraId="317897A2">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751E351D">
            <w:pPr>
              <w:adjustRightInd w:val="0"/>
              <w:snapToGrid w:val="0"/>
              <w:jc w:val="center"/>
              <w:rPr>
                <w:rFonts w:ascii="宋体" w:hAnsi="宋体" w:cs="宋体"/>
                <w:szCs w:val="21"/>
              </w:rPr>
            </w:pPr>
            <w:r>
              <w:rPr>
                <w:rFonts w:hint="eastAsia" w:ascii="宋体" w:hAnsi="宋体" w:cs="宋体"/>
                <w:szCs w:val="21"/>
              </w:rPr>
              <w:t>响应函及响应函附录签字盖章</w:t>
            </w:r>
          </w:p>
        </w:tc>
        <w:tc>
          <w:tcPr>
            <w:tcW w:w="5947" w:type="dxa"/>
            <w:gridSpan w:val="2"/>
            <w:tcBorders>
              <w:top w:val="single" w:color="auto" w:sz="4" w:space="0"/>
              <w:left w:val="single" w:color="auto" w:sz="4" w:space="0"/>
              <w:bottom w:val="single" w:color="auto" w:sz="4" w:space="0"/>
            </w:tcBorders>
            <w:vAlign w:val="center"/>
          </w:tcPr>
          <w:p w14:paraId="349A9594">
            <w:pPr>
              <w:adjustRightInd w:val="0"/>
              <w:snapToGrid w:val="0"/>
              <w:rPr>
                <w:rFonts w:ascii="宋体" w:hAnsi="宋体" w:cs="宋体"/>
                <w:szCs w:val="21"/>
              </w:rPr>
            </w:pPr>
            <w:r>
              <w:rPr>
                <w:rFonts w:hint="eastAsia" w:ascii="宋体" w:hAnsi="宋体" w:cs="宋体"/>
                <w:szCs w:val="21"/>
              </w:rPr>
              <w:t>有法定代表人或其委托代理人签字或加盖单位公章。由法定代表人签字的，应附法定代表人身份证明，由代理人签字的，应附授权委托书，身份证明或授权委托书应符合“响应文件格式”的规定。</w:t>
            </w:r>
          </w:p>
        </w:tc>
      </w:tr>
      <w:tr w14:paraId="4D341D9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continue"/>
            <w:tcBorders>
              <w:top w:val="nil"/>
              <w:bottom w:val="single" w:color="auto" w:sz="4" w:space="0"/>
              <w:right w:val="single" w:color="auto" w:sz="4" w:space="0"/>
            </w:tcBorders>
            <w:vAlign w:val="center"/>
          </w:tcPr>
          <w:p w14:paraId="3058B5E9">
            <w:pPr>
              <w:adjustRightInd w:val="0"/>
              <w:snapToGrid w:val="0"/>
              <w:rPr>
                <w:rFonts w:ascii="宋体" w:hAnsi="宋体" w:cs="宋体"/>
                <w:szCs w:val="21"/>
              </w:rPr>
            </w:pPr>
          </w:p>
        </w:tc>
        <w:tc>
          <w:tcPr>
            <w:tcW w:w="1049" w:type="dxa"/>
            <w:vMerge w:val="continue"/>
            <w:tcBorders>
              <w:top w:val="nil"/>
              <w:bottom w:val="single" w:color="auto" w:sz="4" w:space="0"/>
              <w:right w:val="single" w:color="auto" w:sz="4" w:space="0"/>
            </w:tcBorders>
            <w:vAlign w:val="center"/>
          </w:tcPr>
          <w:p w14:paraId="571AC2BD">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7F58E5E0">
            <w:pPr>
              <w:adjustRightInd w:val="0"/>
              <w:snapToGrid w:val="0"/>
              <w:jc w:val="center"/>
              <w:rPr>
                <w:rFonts w:ascii="宋体" w:hAnsi="宋体" w:cs="宋体"/>
                <w:szCs w:val="21"/>
              </w:rPr>
            </w:pPr>
            <w:r>
              <w:rPr>
                <w:rFonts w:hint="eastAsia" w:ascii="宋体" w:hAnsi="宋体" w:cs="宋体"/>
                <w:szCs w:val="21"/>
              </w:rPr>
              <w:t>响应文件格式</w:t>
            </w:r>
          </w:p>
        </w:tc>
        <w:tc>
          <w:tcPr>
            <w:tcW w:w="5947" w:type="dxa"/>
            <w:gridSpan w:val="2"/>
            <w:tcBorders>
              <w:top w:val="single" w:color="auto" w:sz="4" w:space="0"/>
              <w:left w:val="single" w:color="auto" w:sz="4" w:space="0"/>
              <w:bottom w:val="single" w:color="auto" w:sz="4" w:space="0"/>
            </w:tcBorders>
            <w:vAlign w:val="center"/>
          </w:tcPr>
          <w:p w14:paraId="77F9592B">
            <w:pPr>
              <w:adjustRightInd w:val="0"/>
              <w:snapToGrid w:val="0"/>
              <w:rPr>
                <w:rFonts w:ascii="宋体" w:hAnsi="宋体" w:cs="宋体"/>
                <w:szCs w:val="21"/>
              </w:rPr>
            </w:pPr>
            <w:r>
              <w:rPr>
                <w:rFonts w:hint="eastAsia" w:ascii="宋体" w:hAnsi="宋体" w:cs="宋体"/>
                <w:szCs w:val="21"/>
              </w:rPr>
              <w:t>符合“响应文件格式”的要求。</w:t>
            </w:r>
          </w:p>
        </w:tc>
      </w:tr>
      <w:tr w14:paraId="0DD5B3F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continue"/>
            <w:tcBorders>
              <w:top w:val="nil"/>
              <w:bottom w:val="single" w:color="auto" w:sz="4" w:space="0"/>
              <w:right w:val="single" w:color="auto" w:sz="4" w:space="0"/>
            </w:tcBorders>
            <w:vAlign w:val="center"/>
          </w:tcPr>
          <w:p w14:paraId="3637BE77">
            <w:pPr>
              <w:adjustRightInd w:val="0"/>
              <w:snapToGrid w:val="0"/>
              <w:rPr>
                <w:rFonts w:ascii="宋体" w:hAnsi="宋体" w:cs="宋体"/>
                <w:szCs w:val="21"/>
              </w:rPr>
            </w:pPr>
          </w:p>
        </w:tc>
        <w:tc>
          <w:tcPr>
            <w:tcW w:w="1049" w:type="dxa"/>
            <w:vMerge w:val="continue"/>
            <w:tcBorders>
              <w:top w:val="nil"/>
              <w:bottom w:val="single" w:color="auto" w:sz="4" w:space="0"/>
              <w:right w:val="single" w:color="auto" w:sz="4" w:space="0"/>
            </w:tcBorders>
            <w:vAlign w:val="center"/>
          </w:tcPr>
          <w:p w14:paraId="3D8C0888">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33F37432">
            <w:pPr>
              <w:adjustRightInd w:val="0"/>
              <w:snapToGrid w:val="0"/>
              <w:jc w:val="center"/>
              <w:rPr>
                <w:rFonts w:ascii="宋体" w:hAnsi="宋体" w:cs="宋体"/>
                <w:szCs w:val="21"/>
              </w:rPr>
            </w:pPr>
            <w:r>
              <w:rPr>
                <w:rFonts w:hint="eastAsia" w:ascii="宋体" w:hAnsi="宋体" w:cs="宋体"/>
                <w:szCs w:val="21"/>
              </w:rPr>
              <w:t>备选询价申请方案</w:t>
            </w:r>
          </w:p>
        </w:tc>
        <w:tc>
          <w:tcPr>
            <w:tcW w:w="5947" w:type="dxa"/>
            <w:gridSpan w:val="2"/>
            <w:tcBorders>
              <w:top w:val="single" w:color="auto" w:sz="4" w:space="0"/>
              <w:left w:val="single" w:color="auto" w:sz="4" w:space="0"/>
              <w:bottom w:val="single" w:color="auto" w:sz="4" w:space="0"/>
            </w:tcBorders>
            <w:vAlign w:val="center"/>
          </w:tcPr>
          <w:p w14:paraId="4CE9A80D">
            <w:pPr>
              <w:adjustRightInd w:val="0"/>
              <w:snapToGrid w:val="0"/>
              <w:rPr>
                <w:rFonts w:ascii="宋体" w:hAnsi="宋体" w:cs="宋体"/>
                <w:szCs w:val="21"/>
              </w:rPr>
            </w:pPr>
            <w:r>
              <w:rPr>
                <w:rFonts w:hint="eastAsia" w:ascii="宋体" w:hAnsi="宋体" w:cs="宋体"/>
                <w:szCs w:val="21"/>
              </w:rPr>
              <w:t>除询价文件明确允许提交备选响应方案外，响应人不得提交备选响应方案。</w:t>
            </w:r>
          </w:p>
        </w:tc>
      </w:tr>
      <w:tr w14:paraId="656E40F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32" w:hRule="atLeast"/>
          <w:jc w:val="center"/>
        </w:trPr>
        <w:tc>
          <w:tcPr>
            <w:tcW w:w="787" w:type="dxa"/>
            <w:vMerge w:val="continue"/>
            <w:tcBorders>
              <w:top w:val="nil"/>
              <w:bottom w:val="single" w:color="auto" w:sz="4" w:space="0"/>
              <w:right w:val="single" w:color="auto" w:sz="4" w:space="0"/>
            </w:tcBorders>
            <w:vAlign w:val="center"/>
          </w:tcPr>
          <w:p w14:paraId="2DDE41A9">
            <w:pPr>
              <w:adjustRightInd w:val="0"/>
              <w:snapToGrid w:val="0"/>
              <w:rPr>
                <w:rFonts w:ascii="宋体" w:hAnsi="宋体" w:cs="宋体"/>
                <w:szCs w:val="21"/>
              </w:rPr>
            </w:pPr>
          </w:p>
        </w:tc>
        <w:tc>
          <w:tcPr>
            <w:tcW w:w="1049" w:type="dxa"/>
            <w:vMerge w:val="continue"/>
            <w:tcBorders>
              <w:top w:val="nil"/>
              <w:bottom w:val="single" w:color="auto" w:sz="4" w:space="0"/>
              <w:right w:val="single" w:color="auto" w:sz="4" w:space="0"/>
            </w:tcBorders>
            <w:vAlign w:val="center"/>
          </w:tcPr>
          <w:p w14:paraId="6B75C5E8">
            <w:pPr>
              <w:adjustRightInd w:val="0"/>
              <w:snapToGrid w:val="0"/>
              <w:rPr>
                <w:rFonts w:ascii="宋体" w:hAnsi="宋体" w:cs="宋体"/>
                <w:szCs w:val="21"/>
              </w:rPr>
            </w:pPr>
          </w:p>
        </w:tc>
        <w:tc>
          <w:tcPr>
            <w:tcW w:w="1275" w:type="dxa"/>
            <w:tcBorders>
              <w:top w:val="single" w:color="auto" w:sz="4" w:space="0"/>
              <w:left w:val="single" w:color="auto" w:sz="4" w:space="0"/>
              <w:right w:val="single" w:color="auto" w:sz="4" w:space="0"/>
            </w:tcBorders>
            <w:vAlign w:val="center"/>
          </w:tcPr>
          <w:p w14:paraId="3308494C">
            <w:pPr>
              <w:adjustRightInd w:val="0"/>
              <w:snapToGrid w:val="0"/>
              <w:jc w:val="center"/>
              <w:rPr>
                <w:rFonts w:ascii="宋体" w:hAnsi="宋体" w:cs="宋体"/>
                <w:szCs w:val="21"/>
              </w:rPr>
            </w:pPr>
            <w:r>
              <w:rPr>
                <w:rFonts w:hint="eastAsia" w:ascii="宋体" w:hAnsi="宋体" w:cs="宋体"/>
                <w:szCs w:val="21"/>
              </w:rPr>
              <w:t>报价唯一</w:t>
            </w:r>
          </w:p>
        </w:tc>
        <w:tc>
          <w:tcPr>
            <w:tcW w:w="5947" w:type="dxa"/>
            <w:gridSpan w:val="2"/>
            <w:tcBorders>
              <w:top w:val="single" w:color="auto" w:sz="4" w:space="0"/>
              <w:left w:val="single" w:color="auto" w:sz="4" w:space="0"/>
            </w:tcBorders>
            <w:vAlign w:val="center"/>
          </w:tcPr>
          <w:p w14:paraId="6F746D7A">
            <w:pPr>
              <w:adjustRightInd w:val="0"/>
              <w:snapToGrid w:val="0"/>
              <w:rPr>
                <w:rFonts w:ascii="宋体" w:hAnsi="宋体" w:cs="宋体"/>
                <w:szCs w:val="21"/>
              </w:rPr>
            </w:pPr>
            <w:r>
              <w:rPr>
                <w:rFonts w:hint="eastAsia" w:ascii="宋体" w:hAnsi="宋体" w:cs="宋体"/>
                <w:szCs w:val="21"/>
              </w:rPr>
              <w:t>只能有一个有效报价。</w:t>
            </w:r>
          </w:p>
        </w:tc>
      </w:tr>
      <w:tr w14:paraId="751CC9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3" w:hRule="atLeast"/>
          <w:jc w:val="center"/>
        </w:trPr>
        <w:tc>
          <w:tcPr>
            <w:tcW w:w="787" w:type="dxa"/>
            <w:tcBorders>
              <w:top w:val="single" w:color="auto" w:sz="4" w:space="0"/>
              <w:right w:val="single" w:color="auto" w:sz="4" w:space="0"/>
            </w:tcBorders>
            <w:vAlign w:val="center"/>
          </w:tcPr>
          <w:p w14:paraId="7C730A9E">
            <w:pPr>
              <w:adjustRightInd w:val="0"/>
              <w:snapToGrid w:val="0"/>
              <w:jc w:val="center"/>
              <w:rPr>
                <w:rFonts w:ascii="宋体" w:hAnsi="宋体" w:cs="宋体"/>
                <w:szCs w:val="21"/>
              </w:rPr>
            </w:pPr>
            <w:r>
              <w:rPr>
                <w:rFonts w:hint="eastAsia" w:ascii="宋体" w:hAnsi="宋体" w:cs="宋体"/>
                <w:szCs w:val="21"/>
              </w:rPr>
              <w:t>2.1.2</w:t>
            </w:r>
          </w:p>
        </w:tc>
        <w:tc>
          <w:tcPr>
            <w:tcW w:w="1049" w:type="dxa"/>
            <w:tcBorders>
              <w:top w:val="single" w:color="auto" w:sz="4" w:space="0"/>
              <w:right w:val="single" w:color="auto" w:sz="4" w:space="0"/>
            </w:tcBorders>
            <w:vAlign w:val="center"/>
          </w:tcPr>
          <w:p w14:paraId="2A38FB5C">
            <w:pPr>
              <w:adjustRightInd w:val="0"/>
              <w:snapToGrid w:val="0"/>
              <w:jc w:val="center"/>
              <w:rPr>
                <w:rFonts w:ascii="宋体" w:hAnsi="宋体" w:cs="宋体"/>
                <w:szCs w:val="21"/>
              </w:rPr>
            </w:pPr>
            <w:r>
              <w:rPr>
                <w:rFonts w:hint="eastAsia" w:ascii="宋体" w:hAnsi="宋体" w:cs="宋体"/>
                <w:szCs w:val="21"/>
              </w:rPr>
              <w:t>资格评审标准</w:t>
            </w:r>
          </w:p>
        </w:tc>
        <w:tc>
          <w:tcPr>
            <w:tcW w:w="7222" w:type="dxa"/>
            <w:gridSpan w:val="3"/>
            <w:tcBorders>
              <w:top w:val="single" w:color="auto" w:sz="4" w:space="0"/>
              <w:left w:val="single" w:color="auto" w:sz="4" w:space="0"/>
            </w:tcBorders>
            <w:vAlign w:val="center"/>
          </w:tcPr>
          <w:p w14:paraId="06316778">
            <w:pPr>
              <w:snapToGrid w:val="0"/>
              <w:jc w:val="left"/>
            </w:pPr>
            <w:r>
              <w:rPr>
                <w:rFonts w:hint="eastAsia"/>
              </w:rPr>
              <w:t>见询价公告“二、供应商资格要求”</w:t>
            </w:r>
          </w:p>
        </w:tc>
      </w:tr>
      <w:tr w14:paraId="3E52BC8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restart"/>
            <w:tcBorders>
              <w:top w:val="single" w:color="auto" w:sz="4" w:space="0"/>
              <w:right w:val="single" w:color="auto" w:sz="4" w:space="0"/>
            </w:tcBorders>
            <w:vAlign w:val="center"/>
          </w:tcPr>
          <w:p w14:paraId="5958149F">
            <w:pPr>
              <w:adjustRightInd w:val="0"/>
              <w:snapToGrid w:val="0"/>
              <w:jc w:val="center"/>
              <w:rPr>
                <w:rFonts w:ascii="宋体" w:hAnsi="宋体" w:cs="宋体"/>
                <w:szCs w:val="21"/>
              </w:rPr>
            </w:pPr>
            <w:r>
              <w:rPr>
                <w:rFonts w:hint="eastAsia" w:ascii="宋体" w:hAnsi="宋体" w:cs="宋体"/>
                <w:szCs w:val="21"/>
              </w:rPr>
              <w:t>2.1.3</w:t>
            </w:r>
          </w:p>
        </w:tc>
        <w:tc>
          <w:tcPr>
            <w:tcW w:w="1049" w:type="dxa"/>
            <w:vMerge w:val="restart"/>
            <w:tcBorders>
              <w:top w:val="single" w:color="auto" w:sz="4" w:space="0"/>
              <w:right w:val="single" w:color="auto" w:sz="4" w:space="0"/>
            </w:tcBorders>
            <w:vAlign w:val="center"/>
          </w:tcPr>
          <w:p w14:paraId="301161E7">
            <w:pPr>
              <w:adjustRightInd w:val="0"/>
              <w:snapToGrid w:val="0"/>
              <w:jc w:val="center"/>
              <w:rPr>
                <w:rFonts w:ascii="宋体" w:hAnsi="宋体" w:cs="宋体"/>
                <w:szCs w:val="21"/>
              </w:rPr>
            </w:pPr>
            <w:r>
              <w:rPr>
                <w:rFonts w:hint="eastAsia" w:ascii="宋体" w:hAnsi="宋体" w:cs="宋体"/>
                <w:szCs w:val="21"/>
              </w:rPr>
              <w:t>响应性评审标准</w:t>
            </w:r>
          </w:p>
        </w:tc>
        <w:tc>
          <w:tcPr>
            <w:tcW w:w="1275" w:type="dxa"/>
            <w:tcBorders>
              <w:top w:val="single" w:color="auto" w:sz="4" w:space="0"/>
              <w:left w:val="single" w:color="auto" w:sz="4" w:space="0"/>
              <w:bottom w:val="single" w:color="auto" w:sz="4" w:space="0"/>
              <w:right w:val="single" w:color="auto" w:sz="4" w:space="0"/>
            </w:tcBorders>
            <w:vAlign w:val="center"/>
          </w:tcPr>
          <w:p w14:paraId="3E3282EF">
            <w:pPr>
              <w:adjustRightInd w:val="0"/>
              <w:snapToGrid w:val="0"/>
              <w:jc w:val="center"/>
              <w:rPr>
                <w:rFonts w:ascii="宋体" w:hAnsi="宋体" w:cs="宋体"/>
                <w:szCs w:val="21"/>
              </w:rPr>
            </w:pPr>
            <w:r>
              <w:rPr>
                <w:rFonts w:hint="eastAsia" w:ascii="宋体" w:hAnsi="宋体" w:cs="宋体"/>
                <w:szCs w:val="21"/>
              </w:rPr>
              <w:t>询价报价</w:t>
            </w:r>
          </w:p>
        </w:tc>
        <w:tc>
          <w:tcPr>
            <w:tcW w:w="5947" w:type="dxa"/>
            <w:gridSpan w:val="2"/>
            <w:tcBorders>
              <w:top w:val="single" w:color="auto" w:sz="4" w:space="0"/>
              <w:left w:val="single" w:color="auto" w:sz="4" w:space="0"/>
              <w:bottom w:val="single" w:color="auto" w:sz="4" w:space="0"/>
            </w:tcBorders>
            <w:vAlign w:val="center"/>
          </w:tcPr>
          <w:p w14:paraId="59B36C17">
            <w:pPr>
              <w:adjustRightInd w:val="0"/>
              <w:snapToGrid w:val="0"/>
              <w:rPr>
                <w:rFonts w:ascii="宋体" w:hAnsi="宋体" w:cs="宋体"/>
                <w:szCs w:val="21"/>
              </w:rPr>
            </w:pPr>
            <w:r>
              <w:rPr>
                <w:rFonts w:hint="eastAsia" w:ascii="宋体" w:hAnsi="宋体" w:cs="宋体"/>
                <w:szCs w:val="21"/>
              </w:rPr>
              <w:t>最高限价为12万元</w:t>
            </w:r>
          </w:p>
        </w:tc>
      </w:tr>
      <w:tr w14:paraId="697F09F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continue"/>
            <w:tcBorders>
              <w:right w:val="single" w:color="auto" w:sz="4" w:space="0"/>
            </w:tcBorders>
            <w:vAlign w:val="center"/>
          </w:tcPr>
          <w:p w14:paraId="58DF25A9">
            <w:pPr>
              <w:adjustRightInd w:val="0"/>
              <w:snapToGrid w:val="0"/>
              <w:rPr>
                <w:rFonts w:ascii="宋体" w:hAnsi="宋体" w:cs="宋体"/>
                <w:szCs w:val="21"/>
              </w:rPr>
            </w:pPr>
          </w:p>
        </w:tc>
        <w:tc>
          <w:tcPr>
            <w:tcW w:w="1049" w:type="dxa"/>
            <w:vMerge w:val="continue"/>
            <w:tcBorders>
              <w:right w:val="single" w:color="auto" w:sz="4" w:space="0"/>
            </w:tcBorders>
            <w:vAlign w:val="center"/>
          </w:tcPr>
          <w:p w14:paraId="3CA1380A">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06216EC2">
            <w:pPr>
              <w:adjustRightInd w:val="0"/>
              <w:snapToGrid w:val="0"/>
              <w:jc w:val="center"/>
              <w:rPr>
                <w:rFonts w:ascii="宋体" w:hAnsi="宋体" w:cs="宋体"/>
                <w:szCs w:val="21"/>
              </w:rPr>
            </w:pPr>
            <w:r>
              <w:rPr>
                <w:rFonts w:hint="eastAsia" w:ascii="宋体" w:hAnsi="宋体" w:cs="宋体"/>
                <w:szCs w:val="21"/>
              </w:rPr>
              <w:t>服务周期</w:t>
            </w:r>
          </w:p>
        </w:tc>
        <w:tc>
          <w:tcPr>
            <w:tcW w:w="5947" w:type="dxa"/>
            <w:gridSpan w:val="2"/>
            <w:tcBorders>
              <w:top w:val="single" w:color="auto" w:sz="4" w:space="0"/>
              <w:left w:val="single" w:color="auto" w:sz="4" w:space="0"/>
              <w:bottom w:val="single" w:color="auto" w:sz="4" w:space="0"/>
            </w:tcBorders>
            <w:vAlign w:val="center"/>
          </w:tcPr>
          <w:p w14:paraId="2488072B">
            <w:pPr>
              <w:adjustRightInd w:val="0"/>
              <w:snapToGrid w:val="0"/>
              <w:rPr>
                <w:rFonts w:ascii="宋体" w:hAnsi="宋体" w:cs="宋体"/>
                <w:szCs w:val="21"/>
              </w:rPr>
            </w:pPr>
            <w:r>
              <w:rPr>
                <w:rFonts w:hint="eastAsia" w:ascii="宋体" w:hAnsi="宋体" w:cs="宋体"/>
                <w:szCs w:val="21"/>
              </w:rPr>
              <w:t>自签订合同起6个月</w:t>
            </w:r>
          </w:p>
        </w:tc>
      </w:tr>
      <w:tr w14:paraId="6DED85F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continue"/>
            <w:tcBorders>
              <w:right w:val="single" w:color="auto" w:sz="4" w:space="0"/>
            </w:tcBorders>
            <w:vAlign w:val="center"/>
          </w:tcPr>
          <w:p w14:paraId="345F6F63">
            <w:pPr>
              <w:adjustRightInd w:val="0"/>
              <w:snapToGrid w:val="0"/>
              <w:rPr>
                <w:rFonts w:ascii="宋体" w:hAnsi="宋体" w:cs="宋体"/>
                <w:szCs w:val="21"/>
              </w:rPr>
            </w:pPr>
          </w:p>
        </w:tc>
        <w:tc>
          <w:tcPr>
            <w:tcW w:w="1049" w:type="dxa"/>
            <w:vMerge w:val="continue"/>
            <w:tcBorders>
              <w:right w:val="single" w:color="auto" w:sz="4" w:space="0"/>
            </w:tcBorders>
            <w:vAlign w:val="center"/>
          </w:tcPr>
          <w:p w14:paraId="526A1E61">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29CAF2E3">
            <w:pPr>
              <w:adjustRightInd w:val="0"/>
              <w:snapToGrid w:val="0"/>
              <w:jc w:val="center"/>
              <w:rPr>
                <w:rFonts w:ascii="宋体" w:hAnsi="宋体" w:cs="宋体"/>
                <w:szCs w:val="21"/>
              </w:rPr>
            </w:pPr>
            <w:r>
              <w:rPr>
                <w:rFonts w:hint="eastAsia" w:ascii="宋体" w:hAnsi="宋体" w:cs="宋体"/>
                <w:szCs w:val="21"/>
              </w:rPr>
              <w:t>质量标准</w:t>
            </w:r>
          </w:p>
        </w:tc>
        <w:tc>
          <w:tcPr>
            <w:tcW w:w="5947" w:type="dxa"/>
            <w:gridSpan w:val="2"/>
            <w:tcBorders>
              <w:top w:val="single" w:color="auto" w:sz="4" w:space="0"/>
              <w:left w:val="single" w:color="auto" w:sz="4" w:space="0"/>
              <w:bottom w:val="single" w:color="auto" w:sz="4" w:space="0"/>
            </w:tcBorders>
            <w:vAlign w:val="center"/>
          </w:tcPr>
          <w:p w14:paraId="6C7449D4">
            <w:pPr>
              <w:adjustRightInd w:val="0"/>
              <w:snapToGrid w:val="0"/>
              <w:rPr>
                <w:rFonts w:ascii="宋体" w:hAnsi="宋体" w:cs="宋体"/>
                <w:szCs w:val="21"/>
              </w:rPr>
            </w:pPr>
            <w:r>
              <w:rPr>
                <w:rFonts w:hint="eastAsia" w:ascii="宋体" w:hAnsi="宋体" w:cs="宋体"/>
                <w:szCs w:val="21"/>
              </w:rPr>
              <w:t>合格</w:t>
            </w:r>
          </w:p>
        </w:tc>
      </w:tr>
      <w:tr w14:paraId="6206759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continue"/>
            <w:tcBorders>
              <w:right w:val="single" w:color="auto" w:sz="4" w:space="0"/>
            </w:tcBorders>
            <w:vAlign w:val="center"/>
          </w:tcPr>
          <w:p w14:paraId="10D6953E">
            <w:pPr>
              <w:adjustRightInd w:val="0"/>
              <w:snapToGrid w:val="0"/>
              <w:rPr>
                <w:rFonts w:ascii="宋体" w:hAnsi="宋体" w:cs="宋体"/>
                <w:szCs w:val="21"/>
              </w:rPr>
            </w:pPr>
          </w:p>
        </w:tc>
        <w:tc>
          <w:tcPr>
            <w:tcW w:w="1049" w:type="dxa"/>
            <w:vMerge w:val="continue"/>
            <w:tcBorders>
              <w:right w:val="single" w:color="auto" w:sz="4" w:space="0"/>
            </w:tcBorders>
            <w:vAlign w:val="center"/>
          </w:tcPr>
          <w:p w14:paraId="4B3DD1E4">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5ADA15EE">
            <w:pPr>
              <w:adjustRightInd w:val="0"/>
              <w:snapToGrid w:val="0"/>
              <w:jc w:val="center"/>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询价有效期</w:t>
            </w:r>
          </w:p>
        </w:tc>
        <w:tc>
          <w:tcPr>
            <w:tcW w:w="5947" w:type="dxa"/>
            <w:gridSpan w:val="2"/>
            <w:tcBorders>
              <w:top w:val="single" w:color="auto" w:sz="4" w:space="0"/>
              <w:left w:val="single" w:color="auto" w:sz="4" w:space="0"/>
              <w:bottom w:val="single" w:color="auto" w:sz="4" w:space="0"/>
            </w:tcBorders>
            <w:vAlign w:val="center"/>
          </w:tcPr>
          <w:p w14:paraId="2B3DBF0D">
            <w:pPr>
              <w:adjustRightInd w:val="0"/>
              <w:snapToGrid w:val="0"/>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30日历天（从询价截止之日算起）</w:t>
            </w:r>
          </w:p>
        </w:tc>
      </w:tr>
      <w:tr w14:paraId="319E6C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tcBorders>
              <w:right w:val="single" w:color="auto" w:sz="4" w:space="0"/>
            </w:tcBorders>
            <w:vAlign w:val="center"/>
          </w:tcPr>
          <w:p w14:paraId="4D919675">
            <w:pPr>
              <w:adjustRightInd w:val="0"/>
              <w:snapToGrid w:val="0"/>
              <w:rPr>
                <w:rFonts w:ascii="宋体" w:hAnsi="宋体" w:cs="宋体"/>
                <w:szCs w:val="21"/>
              </w:rPr>
            </w:pPr>
          </w:p>
        </w:tc>
        <w:tc>
          <w:tcPr>
            <w:tcW w:w="1049" w:type="dxa"/>
            <w:tcBorders>
              <w:right w:val="single" w:color="auto" w:sz="4" w:space="0"/>
            </w:tcBorders>
            <w:vAlign w:val="center"/>
          </w:tcPr>
          <w:p w14:paraId="1E7ABBE9">
            <w:pPr>
              <w:adjustRightInd w:val="0"/>
              <w:snapToGrid w:val="0"/>
              <w:rPr>
                <w:rFonts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14:paraId="11AF7B37">
            <w:pPr>
              <w:adjustRightInd w:val="0"/>
              <w:snapToGrid w:val="0"/>
              <w:jc w:val="center"/>
              <w:rPr>
                <w:rFonts w:ascii="宋体" w:hAnsi="宋体" w:cs="宋体"/>
                <w:szCs w:val="21"/>
              </w:rPr>
            </w:pPr>
            <w:r>
              <w:rPr>
                <w:rFonts w:hint="eastAsia" w:ascii="宋体" w:hAnsi="宋体" w:cs="宋体"/>
                <w:szCs w:val="21"/>
              </w:rPr>
              <w:t>其他要求</w:t>
            </w:r>
          </w:p>
        </w:tc>
        <w:tc>
          <w:tcPr>
            <w:tcW w:w="5947" w:type="dxa"/>
            <w:gridSpan w:val="2"/>
            <w:tcBorders>
              <w:top w:val="single" w:color="auto" w:sz="4" w:space="0"/>
              <w:left w:val="single" w:color="auto" w:sz="4" w:space="0"/>
              <w:bottom w:val="single" w:color="auto" w:sz="4" w:space="0"/>
            </w:tcBorders>
            <w:vAlign w:val="center"/>
          </w:tcPr>
          <w:p w14:paraId="6D565FDB">
            <w:pPr>
              <w:adjustRightInd w:val="0"/>
              <w:snapToGrid w:val="0"/>
              <w:rPr>
                <w:rFonts w:ascii="宋体" w:hAnsi="宋体" w:cs="宋体"/>
                <w:szCs w:val="21"/>
              </w:rPr>
            </w:pPr>
            <w:r>
              <w:rPr>
                <w:rFonts w:hint="eastAsia" w:ascii="宋体" w:hAnsi="宋体" w:cs="宋体"/>
                <w:szCs w:val="21"/>
              </w:rPr>
              <w:t>不存在询价文件中禁止询价的情形</w:t>
            </w:r>
          </w:p>
        </w:tc>
      </w:tr>
      <w:tr w14:paraId="049EE61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77" w:hRule="atLeast"/>
          <w:jc w:val="center"/>
        </w:trPr>
        <w:tc>
          <w:tcPr>
            <w:tcW w:w="1836" w:type="dxa"/>
            <w:gridSpan w:val="2"/>
            <w:tcBorders>
              <w:top w:val="single" w:color="auto" w:sz="4" w:space="0"/>
              <w:bottom w:val="single" w:color="auto" w:sz="4" w:space="0"/>
              <w:right w:val="single" w:color="auto" w:sz="4" w:space="0"/>
            </w:tcBorders>
            <w:vAlign w:val="center"/>
          </w:tcPr>
          <w:p w14:paraId="6C331CC7">
            <w:pPr>
              <w:adjustRightInd w:val="0"/>
              <w:snapToGrid w:val="0"/>
              <w:jc w:val="center"/>
              <w:rPr>
                <w:rFonts w:ascii="宋体" w:hAnsi="宋体" w:cs="宋体"/>
                <w:b/>
              </w:rPr>
            </w:pPr>
            <w:r>
              <w:rPr>
                <w:rFonts w:hint="eastAsia" w:ascii="宋体" w:hAnsi="宋体" w:cs="宋体"/>
                <w:b/>
              </w:rPr>
              <w:t>条款号</w:t>
            </w:r>
          </w:p>
        </w:tc>
        <w:tc>
          <w:tcPr>
            <w:tcW w:w="1275" w:type="dxa"/>
            <w:tcBorders>
              <w:top w:val="single" w:color="auto" w:sz="4" w:space="0"/>
              <w:left w:val="single" w:color="auto" w:sz="4" w:space="0"/>
              <w:bottom w:val="single" w:color="auto" w:sz="4" w:space="0"/>
              <w:right w:val="single" w:color="auto" w:sz="4" w:space="0"/>
            </w:tcBorders>
            <w:vAlign w:val="center"/>
          </w:tcPr>
          <w:p w14:paraId="0B663337">
            <w:pPr>
              <w:adjustRightInd w:val="0"/>
              <w:snapToGrid w:val="0"/>
              <w:jc w:val="center"/>
              <w:rPr>
                <w:rFonts w:ascii="宋体" w:hAnsi="宋体" w:cs="宋体"/>
                <w:b/>
              </w:rPr>
            </w:pPr>
            <w:r>
              <w:rPr>
                <w:rFonts w:hint="eastAsia" w:ascii="宋体" w:hAnsi="宋体" w:cs="宋体"/>
                <w:b/>
              </w:rPr>
              <w:t>条款内容</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7A000502">
            <w:pPr>
              <w:adjustRightInd w:val="0"/>
              <w:snapToGrid w:val="0"/>
              <w:jc w:val="center"/>
              <w:rPr>
                <w:rFonts w:ascii="宋体" w:hAnsi="宋体" w:cs="宋体"/>
                <w:b/>
              </w:rPr>
            </w:pPr>
            <w:r>
              <w:rPr>
                <w:rFonts w:hint="eastAsia" w:ascii="宋体" w:hAnsi="宋体" w:cs="宋体"/>
                <w:b/>
              </w:rPr>
              <w:t>编列内容</w:t>
            </w:r>
          </w:p>
        </w:tc>
      </w:tr>
      <w:tr w14:paraId="25E2AD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4" w:hRule="atLeast"/>
          <w:jc w:val="center"/>
        </w:trPr>
        <w:tc>
          <w:tcPr>
            <w:tcW w:w="1836" w:type="dxa"/>
            <w:gridSpan w:val="2"/>
            <w:tcBorders>
              <w:bottom w:val="single" w:color="auto" w:sz="4" w:space="0"/>
              <w:right w:val="single" w:color="auto" w:sz="4" w:space="0"/>
            </w:tcBorders>
            <w:vAlign w:val="center"/>
          </w:tcPr>
          <w:p w14:paraId="601CFDD2">
            <w:pPr>
              <w:adjustRightInd w:val="0"/>
              <w:snapToGrid w:val="0"/>
              <w:jc w:val="center"/>
              <w:rPr>
                <w:rFonts w:ascii="宋体" w:hAnsi="宋体" w:cs="宋体"/>
              </w:rPr>
            </w:pPr>
            <w:r>
              <w:rPr>
                <w:rFonts w:hint="eastAsia" w:ascii="宋体" w:hAnsi="宋体" w:cs="宋体"/>
              </w:rPr>
              <w:t>2.2.1</w:t>
            </w:r>
          </w:p>
        </w:tc>
        <w:tc>
          <w:tcPr>
            <w:tcW w:w="1275" w:type="dxa"/>
            <w:tcBorders>
              <w:top w:val="single" w:color="auto" w:sz="4" w:space="0"/>
              <w:left w:val="single" w:color="auto" w:sz="4" w:space="0"/>
              <w:bottom w:val="single" w:color="auto" w:sz="4" w:space="0"/>
              <w:right w:val="single" w:color="auto" w:sz="4" w:space="0"/>
            </w:tcBorders>
            <w:vAlign w:val="center"/>
          </w:tcPr>
          <w:p w14:paraId="0736FD45">
            <w:pPr>
              <w:adjustRightInd w:val="0"/>
              <w:snapToGrid w:val="0"/>
              <w:jc w:val="center"/>
              <w:rPr>
                <w:rFonts w:ascii="宋体" w:hAnsi="宋体" w:cs="宋体"/>
              </w:rPr>
            </w:pPr>
            <w:r>
              <w:rPr>
                <w:rFonts w:hint="eastAsia" w:ascii="宋体" w:hAnsi="宋体" w:cs="宋体"/>
              </w:rPr>
              <w:t>分值构成</w:t>
            </w:r>
          </w:p>
          <w:p w14:paraId="1A4B4972">
            <w:pPr>
              <w:adjustRightInd w:val="0"/>
              <w:snapToGrid w:val="0"/>
              <w:jc w:val="center"/>
              <w:rPr>
                <w:rFonts w:ascii="宋体" w:hAnsi="宋体" w:cs="宋体"/>
              </w:rPr>
            </w:pPr>
            <w:r>
              <w:rPr>
                <w:rFonts w:hint="eastAsia" w:ascii="宋体" w:hAnsi="宋体" w:cs="宋体"/>
              </w:rPr>
              <w:t>(总分100分)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2BD08472">
            <w:pPr>
              <w:adjustRightInd w:val="0"/>
              <w:snapToGrid w:val="0"/>
              <w:jc w:val="left"/>
              <w:rPr>
                <w:rFonts w:ascii="宋体" w:hAnsi="宋体" w:cs="宋体"/>
              </w:rPr>
            </w:pPr>
            <w:r>
              <w:rPr>
                <w:rFonts w:hint="eastAsia" w:ascii="宋体" w:hAnsi="宋体" w:cs="宋体"/>
              </w:rPr>
              <w:t>响应报价评审：</w:t>
            </w:r>
            <w:r>
              <w:rPr>
                <w:rFonts w:hint="eastAsia" w:ascii="宋体" w:hAnsi="宋体" w:cs="宋体"/>
                <w:u w:val="single"/>
              </w:rPr>
              <w:t>20</w:t>
            </w:r>
            <w:r>
              <w:rPr>
                <w:rFonts w:hint="eastAsia" w:ascii="宋体" w:hAnsi="宋体" w:cs="宋体"/>
              </w:rPr>
              <w:t>分</w:t>
            </w:r>
          </w:p>
          <w:p w14:paraId="580983A5">
            <w:pPr>
              <w:adjustRightInd w:val="0"/>
              <w:snapToGrid w:val="0"/>
              <w:jc w:val="left"/>
              <w:rPr>
                <w:rFonts w:ascii="宋体" w:hAnsi="宋体" w:cs="宋体"/>
              </w:rPr>
            </w:pPr>
            <w:r>
              <w:rPr>
                <w:rFonts w:hint="eastAsia" w:ascii="宋体" w:hAnsi="宋体" w:cs="宋体"/>
              </w:rPr>
              <w:t>商务部分评审：</w:t>
            </w:r>
            <w:r>
              <w:rPr>
                <w:rFonts w:hint="eastAsia" w:ascii="宋体" w:hAnsi="宋体" w:cs="宋体"/>
                <w:u w:val="single"/>
              </w:rPr>
              <w:t>20</w:t>
            </w:r>
            <w:r>
              <w:rPr>
                <w:rFonts w:hint="eastAsia" w:ascii="宋体" w:hAnsi="宋体" w:cs="宋体"/>
              </w:rPr>
              <w:t>分</w:t>
            </w:r>
          </w:p>
          <w:p w14:paraId="52189302">
            <w:pPr>
              <w:adjustRightInd w:val="0"/>
              <w:snapToGrid w:val="0"/>
              <w:jc w:val="left"/>
              <w:rPr>
                <w:rFonts w:ascii="宋体" w:hAnsi="宋体" w:cs="宋体"/>
              </w:rPr>
            </w:pPr>
            <w:r>
              <w:rPr>
                <w:rFonts w:hint="eastAsia" w:ascii="宋体" w:hAnsi="宋体" w:cs="宋体"/>
              </w:rPr>
              <w:t>技术部分评审：</w:t>
            </w:r>
            <w:r>
              <w:rPr>
                <w:rFonts w:hint="eastAsia" w:ascii="宋体" w:hAnsi="宋体" w:cs="宋体"/>
                <w:u w:val="single"/>
              </w:rPr>
              <w:t>60</w:t>
            </w:r>
            <w:r>
              <w:rPr>
                <w:rFonts w:hint="eastAsia" w:ascii="宋体" w:hAnsi="宋体" w:cs="宋体"/>
              </w:rPr>
              <w:t>分</w:t>
            </w:r>
          </w:p>
        </w:tc>
      </w:tr>
      <w:tr w14:paraId="4274E90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836" w:type="dxa"/>
            <w:gridSpan w:val="2"/>
            <w:tcBorders>
              <w:top w:val="single" w:color="auto" w:sz="4" w:space="0"/>
              <w:bottom w:val="single" w:color="auto" w:sz="4" w:space="0"/>
              <w:right w:val="single" w:color="auto" w:sz="4" w:space="0"/>
            </w:tcBorders>
            <w:vAlign w:val="center"/>
          </w:tcPr>
          <w:p w14:paraId="60BC9F49">
            <w:pPr>
              <w:adjustRightInd w:val="0"/>
              <w:snapToGrid w:val="0"/>
              <w:jc w:val="center"/>
              <w:rPr>
                <w:rFonts w:ascii="宋体" w:hAnsi="宋体" w:cs="宋体"/>
                <w:b/>
              </w:rPr>
            </w:pPr>
            <w:r>
              <w:rPr>
                <w:rFonts w:hint="eastAsia" w:ascii="宋体" w:hAnsi="宋体" w:cs="宋体"/>
                <w:b/>
              </w:rPr>
              <w:t>条款号</w:t>
            </w:r>
          </w:p>
        </w:tc>
        <w:tc>
          <w:tcPr>
            <w:tcW w:w="1275" w:type="dxa"/>
            <w:tcBorders>
              <w:top w:val="single" w:color="auto" w:sz="4" w:space="0"/>
              <w:left w:val="single" w:color="auto" w:sz="4" w:space="0"/>
              <w:bottom w:val="single" w:color="auto" w:sz="4" w:space="0"/>
              <w:right w:val="single" w:color="auto" w:sz="4" w:space="0"/>
            </w:tcBorders>
            <w:vAlign w:val="center"/>
          </w:tcPr>
          <w:p w14:paraId="2BE04A40">
            <w:pPr>
              <w:adjustRightInd w:val="0"/>
              <w:snapToGrid w:val="0"/>
              <w:jc w:val="center"/>
              <w:rPr>
                <w:rFonts w:ascii="宋体" w:hAnsi="宋体" w:cs="宋体"/>
                <w:b/>
              </w:rPr>
            </w:pPr>
            <w:r>
              <w:rPr>
                <w:rFonts w:hint="eastAsia" w:ascii="宋体" w:hAnsi="宋体" w:cs="宋体"/>
                <w:b/>
              </w:rPr>
              <w:t>评分因素</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7E4C5BEF">
            <w:pPr>
              <w:adjustRightInd w:val="0"/>
              <w:snapToGrid w:val="0"/>
              <w:jc w:val="center"/>
              <w:rPr>
                <w:rFonts w:ascii="宋体" w:hAnsi="宋体" w:cs="宋体"/>
                <w:b/>
              </w:rPr>
            </w:pPr>
            <w:r>
              <w:rPr>
                <w:rFonts w:hint="eastAsia" w:ascii="宋体" w:hAnsi="宋体" w:cs="宋体"/>
                <w:b/>
              </w:rPr>
              <w:t>评分标准</w:t>
            </w:r>
          </w:p>
        </w:tc>
      </w:tr>
      <w:tr w14:paraId="4C6EA41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04" w:hRule="atLeast"/>
          <w:jc w:val="center"/>
        </w:trPr>
        <w:tc>
          <w:tcPr>
            <w:tcW w:w="787" w:type="dxa"/>
            <w:tcBorders>
              <w:right w:val="single" w:color="auto" w:sz="4" w:space="0"/>
            </w:tcBorders>
            <w:vAlign w:val="center"/>
          </w:tcPr>
          <w:p w14:paraId="6FE7657D">
            <w:pPr>
              <w:adjustRightInd w:val="0"/>
              <w:snapToGrid w:val="0"/>
              <w:jc w:val="center"/>
              <w:rPr>
                <w:rFonts w:ascii="宋体" w:hAnsi="宋体" w:cs="宋体"/>
              </w:rPr>
            </w:pPr>
            <w:r>
              <w:rPr>
                <w:rFonts w:hint="eastAsia" w:ascii="宋体" w:hAnsi="宋体" w:cs="宋体"/>
              </w:rPr>
              <w:t>2.2.2（1）</w:t>
            </w:r>
          </w:p>
        </w:tc>
        <w:tc>
          <w:tcPr>
            <w:tcW w:w="1049" w:type="dxa"/>
            <w:tcBorders>
              <w:right w:val="single" w:color="auto" w:sz="4" w:space="0"/>
            </w:tcBorders>
            <w:vAlign w:val="center"/>
          </w:tcPr>
          <w:p w14:paraId="62F1AE48">
            <w:pPr>
              <w:adjustRightInd w:val="0"/>
              <w:snapToGrid w:val="0"/>
              <w:jc w:val="center"/>
              <w:rPr>
                <w:rFonts w:ascii="宋体" w:hAnsi="宋体" w:cs="宋体"/>
              </w:rPr>
            </w:pPr>
            <w:r>
              <w:rPr>
                <w:rFonts w:hint="eastAsia" w:ascii="宋体" w:hAnsi="宋体" w:cs="宋体"/>
              </w:rPr>
              <w:t>询价报价评审</w:t>
            </w:r>
          </w:p>
          <w:p w14:paraId="77A404ED">
            <w:pPr>
              <w:adjustRightInd w:val="0"/>
              <w:snapToGrid w:val="0"/>
              <w:jc w:val="center"/>
              <w:rPr>
                <w:rFonts w:ascii="宋体" w:hAnsi="宋体" w:cs="宋体"/>
                <w:highlight w:val="green"/>
              </w:rPr>
            </w:pPr>
            <w:r>
              <w:rPr>
                <w:rFonts w:hint="eastAsia" w:ascii="宋体" w:hAnsi="宋体" w:cs="宋体"/>
              </w:rPr>
              <w:t>（20分）</w:t>
            </w:r>
          </w:p>
        </w:tc>
        <w:tc>
          <w:tcPr>
            <w:tcW w:w="1275" w:type="dxa"/>
            <w:tcBorders>
              <w:top w:val="single" w:color="auto" w:sz="4" w:space="0"/>
              <w:left w:val="single" w:color="auto" w:sz="4" w:space="0"/>
              <w:right w:val="single" w:color="auto" w:sz="4" w:space="0"/>
            </w:tcBorders>
            <w:vAlign w:val="center"/>
          </w:tcPr>
          <w:p w14:paraId="6633B495">
            <w:pPr>
              <w:widowControl/>
              <w:adjustRightInd w:val="0"/>
              <w:snapToGrid w:val="0"/>
              <w:jc w:val="center"/>
              <w:rPr>
                <w:rFonts w:ascii="宋体" w:hAnsi="宋体" w:cs="宋体"/>
              </w:rPr>
            </w:pPr>
            <w:r>
              <w:rPr>
                <w:rFonts w:hint="eastAsia" w:ascii="宋体" w:hAnsi="宋体" w:cs="宋体"/>
              </w:rPr>
              <w:t>询价总报价（20分）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14:paraId="4437D799">
            <w:pPr>
              <w:adjustRightInd w:val="0"/>
              <w:snapToGrid w:val="0"/>
              <w:rPr>
                <w:rFonts w:ascii="宋体" w:hAnsi="宋体" w:cs="宋体"/>
              </w:rPr>
            </w:pPr>
            <w:r>
              <w:rPr>
                <w:rFonts w:hint="eastAsia" w:ascii="宋体" w:hAnsi="宋体" w:cs="宋体"/>
              </w:rPr>
              <w:t>采用满足询价文件要求且有效的响应人平均报价为评审基准价，其价格分为满分。高于平均价的1%减1分，低于平均报价的1%减</w:t>
            </w:r>
            <w:bookmarkStart w:id="19" w:name="_GoBack"/>
            <w:bookmarkEnd w:id="19"/>
            <w:r>
              <w:rPr>
                <w:rFonts w:hint="eastAsia" w:ascii="宋体" w:hAnsi="宋体" w:cs="宋体"/>
              </w:rPr>
              <w:t>0.5分，减完为止。</w:t>
            </w:r>
          </w:p>
        </w:tc>
      </w:tr>
      <w:tr w14:paraId="177C23A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77" w:hRule="atLeast"/>
          <w:jc w:val="center"/>
        </w:trPr>
        <w:tc>
          <w:tcPr>
            <w:tcW w:w="787" w:type="dxa"/>
            <w:vMerge w:val="restart"/>
            <w:tcBorders>
              <w:top w:val="single" w:color="auto" w:sz="4" w:space="0"/>
              <w:right w:val="single" w:color="auto" w:sz="4" w:space="0"/>
            </w:tcBorders>
            <w:vAlign w:val="center"/>
          </w:tcPr>
          <w:p w14:paraId="2764E46F">
            <w:pPr>
              <w:adjustRightInd w:val="0"/>
              <w:snapToGrid w:val="0"/>
              <w:jc w:val="center"/>
              <w:rPr>
                <w:rFonts w:ascii="宋体" w:hAnsi="宋体" w:cs="宋体"/>
              </w:rPr>
            </w:pPr>
            <w:r>
              <w:rPr>
                <w:rFonts w:hint="eastAsia" w:ascii="宋体" w:hAnsi="宋体" w:cs="宋体"/>
              </w:rPr>
              <w:t>2.2.2（2）</w:t>
            </w:r>
          </w:p>
        </w:tc>
        <w:tc>
          <w:tcPr>
            <w:tcW w:w="1049" w:type="dxa"/>
            <w:vMerge w:val="restart"/>
            <w:tcBorders>
              <w:top w:val="single" w:color="auto" w:sz="4" w:space="0"/>
              <w:right w:val="single" w:color="auto" w:sz="4" w:space="0"/>
            </w:tcBorders>
            <w:vAlign w:val="center"/>
          </w:tcPr>
          <w:p w14:paraId="478A76F3">
            <w:pPr>
              <w:tabs>
                <w:tab w:val="left" w:pos="360"/>
              </w:tabs>
              <w:adjustRightInd w:val="0"/>
              <w:snapToGrid w:val="0"/>
              <w:jc w:val="center"/>
              <w:rPr>
                <w:rFonts w:ascii="宋体" w:hAnsi="宋体" w:cs="宋体"/>
                <w:szCs w:val="21"/>
              </w:rPr>
            </w:pPr>
            <w:r>
              <w:rPr>
                <w:rFonts w:hint="eastAsia" w:ascii="宋体" w:hAnsi="宋体" w:cs="宋体"/>
              </w:rPr>
              <w:t>商务部分评审（20分）</w:t>
            </w:r>
          </w:p>
        </w:tc>
        <w:tc>
          <w:tcPr>
            <w:tcW w:w="1275" w:type="dxa"/>
            <w:tcBorders>
              <w:top w:val="single" w:color="auto" w:sz="4" w:space="0"/>
              <w:left w:val="single" w:color="auto" w:sz="4" w:space="0"/>
              <w:right w:val="single" w:color="auto" w:sz="4" w:space="0"/>
            </w:tcBorders>
            <w:shd w:val="clear" w:color="auto" w:fill="auto"/>
            <w:vAlign w:val="center"/>
          </w:tcPr>
          <w:p w14:paraId="3DF17EBD">
            <w:pPr>
              <w:pStyle w:val="8"/>
              <w:adjustRightInd w:val="0"/>
              <w:snapToGrid w:val="0"/>
              <w:ind w:left="63" w:right="50"/>
              <w:jc w:val="center"/>
              <w:rPr>
                <w:rFonts w:ascii="宋体" w:hAnsi="宋体" w:cs="宋体"/>
                <w:sz w:val="21"/>
                <w:szCs w:val="21"/>
                <w:lang w:eastAsia="zh-CN"/>
              </w:rPr>
            </w:pPr>
            <w:r>
              <w:rPr>
                <w:rFonts w:hint="eastAsia" w:ascii="宋体" w:hAnsi="宋体" w:cs="宋体"/>
                <w:sz w:val="21"/>
                <w:szCs w:val="21"/>
                <w:lang w:eastAsia="zh-CN"/>
              </w:rPr>
              <w:t>企业</w:t>
            </w:r>
            <w:r>
              <w:rPr>
                <w:rFonts w:hint="eastAsia" w:ascii="宋体" w:hAnsi="宋体" w:cs="宋体"/>
                <w:sz w:val="21"/>
                <w:szCs w:val="21"/>
                <w:lang w:val="en-US" w:eastAsia="zh-CN"/>
              </w:rPr>
              <w:t>实力</w:t>
            </w:r>
          </w:p>
          <w:p w14:paraId="25088E36">
            <w:pPr>
              <w:pStyle w:val="8"/>
              <w:adjustRightInd w:val="0"/>
              <w:snapToGrid w:val="0"/>
              <w:ind w:left="63" w:leftChars="0" w:right="50" w:rightChars="0"/>
              <w:jc w:val="center"/>
              <w:rPr>
                <w:rFonts w:ascii="宋体" w:hAnsi="宋体" w:eastAsia="宋体" w:cs="宋体"/>
                <w:kern w:val="0"/>
                <w:sz w:val="21"/>
                <w:szCs w:val="21"/>
                <w:lang w:val="en-US" w:eastAsia="zh-CN" w:bidi="ar-SA"/>
              </w:rPr>
            </w:pPr>
            <w:r>
              <w:rPr>
                <w:rFonts w:hint="eastAsia" w:ascii="宋体" w:hAnsi="宋体" w:cs="宋体"/>
                <w:sz w:val="21"/>
                <w:szCs w:val="21"/>
                <w:lang w:eastAsia="zh-CN"/>
              </w:rPr>
              <w:t>（</w:t>
            </w:r>
            <w:r>
              <w:rPr>
                <w:rFonts w:hint="eastAsia" w:ascii="宋体" w:hAnsi="宋体" w:cs="宋体"/>
                <w:sz w:val="21"/>
                <w:szCs w:val="21"/>
                <w:lang w:val="en-US" w:eastAsia="zh-CN"/>
              </w:rPr>
              <w:t>4</w:t>
            </w:r>
            <w:r>
              <w:rPr>
                <w:rFonts w:hint="eastAsia" w:ascii="宋体" w:hAnsi="宋体" w:cs="宋体"/>
                <w:sz w:val="21"/>
                <w:szCs w:val="21"/>
                <w:lang w:eastAsia="zh-CN"/>
              </w:rPr>
              <w:t>分）</w:t>
            </w:r>
          </w:p>
        </w:tc>
        <w:tc>
          <w:tcPr>
            <w:tcW w:w="594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526A5D0">
            <w:pPr>
              <w:adjustRightInd w:val="0"/>
              <w:snapToGrid w:val="0"/>
              <w:jc w:val="left"/>
              <w:rPr>
                <w:rFonts w:hint="eastAsia" w:ascii="宋体" w:hAnsi="宋体" w:eastAsia="宋体" w:cs="宋体"/>
                <w:szCs w:val="21"/>
                <w:highlight w:val="none"/>
                <w:lang w:eastAsia="zh-CN"/>
              </w:rPr>
            </w:pPr>
            <w:r>
              <w:rPr>
                <w:rFonts w:hint="eastAsia" w:ascii="宋体" w:hAnsi="宋体" w:cs="宋体"/>
                <w:szCs w:val="21"/>
                <w:highlight w:val="none"/>
                <w:lang w:val="en-US" w:eastAsia="zh-CN"/>
              </w:rPr>
              <w:t>1、供应商具有</w:t>
            </w:r>
            <w:r>
              <w:rPr>
                <w:rFonts w:hint="eastAsia" w:ascii="宋体" w:hAnsi="宋体" w:cs="宋体"/>
                <w:szCs w:val="21"/>
                <w:highlight w:val="none"/>
              </w:rPr>
              <w:t>测绘乙级及以上资质得</w:t>
            </w:r>
            <w:r>
              <w:rPr>
                <w:rFonts w:hint="eastAsia" w:ascii="宋体" w:hAnsi="宋体" w:cs="宋体"/>
                <w:szCs w:val="21"/>
                <w:highlight w:val="none"/>
                <w:lang w:val="en-US" w:eastAsia="zh-CN"/>
              </w:rPr>
              <w:t>3</w:t>
            </w:r>
            <w:r>
              <w:rPr>
                <w:rFonts w:hint="eastAsia" w:ascii="宋体" w:hAnsi="宋体" w:cs="宋体"/>
                <w:szCs w:val="21"/>
                <w:highlight w:val="none"/>
              </w:rPr>
              <w:t>分，</w:t>
            </w:r>
            <w:r>
              <w:rPr>
                <w:rFonts w:hint="eastAsia" w:ascii="宋体" w:hAnsi="宋体" w:cs="宋体"/>
                <w:szCs w:val="21"/>
                <w:highlight w:val="none"/>
                <w:lang w:val="en-US" w:eastAsia="zh-CN"/>
              </w:rPr>
              <w:t>没有不得分.</w:t>
            </w:r>
          </w:p>
          <w:p w14:paraId="3CACDC99">
            <w:pPr>
              <w:adjustRightInd w:val="0"/>
              <w:snapToGrid w:val="0"/>
              <w:jc w:val="left"/>
              <w:rPr>
                <w:rFonts w:hint="eastAsia" w:ascii="宋体" w:hAnsi="宋体" w:eastAsia="宋体" w:cs="宋体"/>
                <w:szCs w:val="21"/>
                <w:highlight w:val="none"/>
                <w:lang w:eastAsia="zh-CN"/>
              </w:rPr>
            </w:pPr>
            <w:r>
              <w:rPr>
                <w:rFonts w:hint="eastAsia" w:ascii="宋体" w:hAnsi="宋体" w:cs="宋体"/>
                <w:szCs w:val="21"/>
                <w:highlight w:val="none"/>
                <w:lang w:val="en-US" w:eastAsia="zh-CN"/>
              </w:rPr>
              <w:t>2、供应商具有质量管理体系认证</w:t>
            </w:r>
            <w:r>
              <w:rPr>
                <w:rFonts w:hint="eastAsia" w:ascii="宋体" w:hAnsi="宋体" w:cs="宋体"/>
                <w:szCs w:val="21"/>
                <w:highlight w:val="none"/>
              </w:rPr>
              <w:t>得</w:t>
            </w:r>
            <w:r>
              <w:rPr>
                <w:rFonts w:hint="eastAsia" w:ascii="宋体" w:hAnsi="宋体" w:cs="宋体"/>
                <w:szCs w:val="21"/>
                <w:highlight w:val="none"/>
                <w:lang w:val="en-US" w:eastAsia="zh-CN"/>
              </w:rPr>
              <w:t>1</w:t>
            </w:r>
            <w:r>
              <w:rPr>
                <w:rFonts w:hint="eastAsia" w:ascii="宋体" w:hAnsi="宋体" w:cs="宋体"/>
                <w:szCs w:val="21"/>
                <w:highlight w:val="none"/>
              </w:rPr>
              <w:t>分，</w:t>
            </w:r>
            <w:r>
              <w:rPr>
                <w:rFonts w:hint="eastAsia" w:ascii="宋体" w:hAnsi="宋体" w:cs="宋体"/>
                <w:szCs w:val="21"/>
                <w:highlight w:val="none"/>
                <w:lang w:val="en-US" w:eastAsia="zh-CN"/>
              </w:rPr>
              <w:t>没有不得分</w:t>
            </w:r>
            <w:r>
              <w:rPr>
                <w:rFonts w:hint="eastAsia" w:ascii="宋体" w:hAnsi="宋体" w:cs="宋体"/>
                <w:szCs w:val="21"/>
                <w:highlight w:val="none"/>
                <w:lang w:eastAsia="zh-CN"/>
              </w:rPr>
              <w:t>。</w:t>
            </w:r>
          </w:p>
          <w:p w14:paraId="6ACD2DB1">
            <w:pPr>
              <w:adjustRightInd w:val="0"/>
              <w:snapToGrid w:val="0"/>
              <w:jc w:val="left"/>
              <w:rPr>
                <w:rFonts w:ascii="宋体" w:hAnsi="宋体" w:eastAsia="宋体" w:cs="宋体"/>
                <w:kern w:val="2"/>
                <w:sz w:val="21"/>
                <w:szCs w:val="21"/>
                <w:lang w:val="en-US" w:eastAsia="zh-CN" w:bidi="ar-SA"/>
              </w:rPr>
            </w:pPr>
            <w:r>
              <w:rPr>
                <w:rFonts w:hint="eastAsia" w:ascii="宋体" w:hAnsi="宋体" w:cs="宋体"/>
                <w:szCs w:val="21"/>
              </w:rPr>
              <w:t>（以原件扫描件为准，否则不得分）</w:t>
            </w:r>
          </w:p>
        </w:tc>
      </w:tr>
      <w:tr w14:paraId="22D1516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40" w:hRule="atLeast"/>
          <w:jc w:val="center"/>
        </w:trPr>
        <w:tc>
          <w:tcPr>
            <w:tcW w:w="787" w:type="dxa"/>
            <w:vMerge w:val="continue"/>
            <w:tcBorders>
              <w:right w:val="single" w:color="auto" w:sz="4" w:space="0"/>
            </w:tcBorders>
            <w:vAlign w:val="center"/>
          </w:tcPr>
          <w:p w14:paraId="2908B783">
            <w:pPr>
              <w:adjustRightInd w:val="0"/>
              <w:snapToGrid w:val="0"/>
              <w:jc w:val="center"/>
              <w:rPr>
                <w:rFonts w:ascii="宋体" w:hAnsi="宋体" w:cs="宋体"/>
              </w:rPr>
            </w:pPr>
          </w:p>
        </w:tc>
        <w:tc>
          <w:tcPr>
            <w:tcW w:w="1049" w:type="dxa"/>
            <w:vMerge w:val="continue"/>
            <w:tcBorders>
              <w:right w:val="single" w:color="auto" w:sz="4" w:space="0"/>
            </w:tcBorders>
            <w:vAlign w:val="center"/>
          </w:tcPr>
          <w:p w14:paraId="38A9CF21">
            <w:pPr>
              <w:adjustRightInd w:val="0"/>
              <w:snapToGrid w:val="0"/>
              <w:jc w:val="center"/>
              <w:rPr>
                <w:rFonts w:ascii="宋体" w:hAnsi="宋体" w:cs="宋体"/>
              </w:rPr>
            </w:pPr>
          </w:p>
        </w:tc>
        <w:tc>
          <w:tcPr>
            <w:tcW w:w="1275" w:type="dxa"/>
            <w:tcBorders>
              <w:top w:val="single" w:color="auto" w:sz="4" w:space="0"/>
              <w:left w:val="single" w:color="auto" w:sz="4" w:space="0"/>
              <w:right w:val="single" w:color="auto" w:sz="4" w:space="0"/>
            </w:tcBorders>
            <w:shd w:val="clear" w:color="auto" w:fill="auto"/>
            <w:vAlign w:val="center"/>
          </w:tcPr>
          <w:p w14:paraId="38E47126">
            <w:pPr>
              <w:pStyle w:val="8"/>
              <w:adjustRightInd w:val="0"/>
              <w:snapToGrid w:val="0"/>
              <w:ind w:left="62" w:leftChars="0" w:right="52" w:rightChars="0"/>
              <w:jc w:val="center"/>
              <w:rPr>
                <w:rFonts w:hint="eastAsia" w:ascii="宋体" w:hAnsi="宋体" w:eastAsia="宋体" w:cs="宋体"/>
                <w:kern w:val="2"/>
                <w:sz w:val="21"/>
                <w:szCs w:val="21"/>
                <w:highlight w:val="none"/>
                <w:lang w:val="en-US" w:eastAsia="zh-CN" w:bidi="ar-SA"/>
              </w:rPr>
            </w:pPr>
            <w:r>
              <w:rPr>
                <w:rFonts w:hint="eastAsia" w:ascii="宋体" w:hAnsi="宋体"/>
                <w:sz w:val="21"/>
                <w:szCs w:val="21"/>
                <w:highlight w:val="none"/>
                <w:lang w:eastAsia="zh-CN"/>
              </w:rPr>
              <w:t>同类业绩</w:t>
            </w:r>
            <w:r>
              <w:rPr>
                <w:rFonts w:hint="eastAsia" w:ascii="宋体" w:hAnsi="宋体" w:cs="宋体"/>
                <w:kern w:val="2"/>
                <w:sz w:val="21"/>
                <w:szCs w:val="21"/>
                <w:highlight w:val="none"/>
                <w:lang w:eastAsia="zh-CN"/>
              </w:rPr>
              <w:t>（</w:t>
            </w:r>
            <w:r>
              <w:rPr>
                <w:rFonts w:hint="eastAsia" w:ascii="宋体" w:hAnsi="宋体" w:cs="宋体"/>
                <w:kern w:val="2"/>
                <w:sz w:val="21"/>
                <w:szCs w:val="21"/>
                <w:highlight w:val="none"/>
                <w:lang w:val="en-US" w:eastAsia="zh-CN"/>
              </w:rPr>
              <w:t>10</w:t>
            </w:r>
            <w:r>
              <w:rPr>
                <w:rFonts w:hint="eastAsia" w:ascii="宋体" w:hAnsi="宋体" w:cs="宋体"/>
                <w:kern w:val="2"/>
                <w:sz w:val="21"/>
                <w:szCs w:val="21"/>
                <w:highlight w:val="none"/>
                <w:lang w:eastAsia="zh-CN"/>
              </w:rPr>
              <w:t>分）</w:t>
            </w:r>
          </w:p>
        </w:tc>
        <w:tc>
          <w:tcPr>
            <w:tcW w:w="594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A5EEC69">
            <w:pPr>
              <w:adjustRightInd w:val="0"/>
              <w:snapToGrid w:val="0"/>
              <w:jc w:val="left"/>
              <w:rPr>
                <w:rFonts w:ascii="宋体" w:hAnsi="宋体" w:cs="宋体"/>
                <w:szCs w:val="21"/>
                <w:highlight w:val="none"/>
              </w:rPr>
            </w:pPr>
            <w:r>
              <w:rPr>
                <w:rFonts w:hint="eastAsia" w:ascii="宋体" w:hAnsi="宋体" w:cs="宋体"/>
                <w:szCs w:val="21"/>
                <w:highlight w:val="none"/>
              </w:rPr>
              <w:t>供应商承接</w:t>
            </w:r>
            <w:r>
              <w:rPr>
                <w:rFonts w:hint="eastAsia" w:ascii="宋体" w:hAnsi="宋体" w:cs="宋体"/>
                <w:szCs w:val="21"/>
                <w:highlight w:val="none"/>
                <w:lang w:val="en-US" w:eastAsia="zh-CN"/>
              </w:rPr>
              <w:t>水利水电工程测绘</w:t>
            </w:r>
            <w:r>
              <w:rPr>
                <w:rFonts w:hint="eastAsia" w:ascii="宋体" w:hAnsi="宋体" w:cs="宋体"/>
                <w:szCs w:val="21"/>
                <w:highlight w:val="none"/>
              </w:rPr>
              <w:t>项目，每有一项同类业绩得2分，最多得</w:t>
            </w:r>
            <w:r>
              <w:rPr>
                <w:rFonts w:hint="eastAsia" w:ascii="宋体" w:hAnsi="宋体" w:cs="宋体"/>
                <w:szCs w:val="21"/>
                <w:highlight w:val="none"/>
                <w:lang w:val="en-US" w:eastAsia="zh-CN"/>
              </w:rPr>
              <w:t>10</w:t>
            </w:r>
            <w:r>
              <w:rPr>
                <w:rFonts w:hint="eastAsia" w:ascii="宋体" w:hAnsi="宋体" w:cs="宋体"/>
                <w:szCs w:val="21"/>
                <w:highlight w:val="none"/>
              </w:rPr>
              <w:t>分。</w:t>
            </w:r>
          </w:p>
          <w:p w14:paraId="5C804DDC">
            <w:pPr>
              <w:adjustRightInd w:val="0"/>
              <w:snapToGrid w:val="0"/>
              <w:jc w:val="left"/>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rPr>
              <w:t>（提供签订合同原件扫描件，未提供不得分）</w:t>
            </w:r>
          </w:p>
        </w:tc>
      </w:tr>
      <w:tr w14:paraId="14F2B34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40" w:hRule="atLeast"/>
          <w:jc w:val="center"/>
        </w:trPr>
        <w:tc>
          <w:tcPr>
            <w:tcW w:w="787" w:type="dxa"/>
            <w:vMerge w:val="continue"/>
            <w:tcBorders>
              <w:right w:val="single" w:color="auto" w:sz="4" w:space="0"/>
            </w:tcBorders>
            <w:vAlign w:val="center"/>
          </w:tcPr>
          <w:p w14:paraId="15DCB5E8">
            <w:pPr>
              <w:adjustRightInd w:val="0"/>
              <w:snapToGrid w:val="0"/>
              <w:jc w:val="center"/>
              <w:rPr>
                <w:rFonts w:ascii="宋体" w:hAnsi="宋体" w:cs="宋体"/>
              </w:rPr>
            </w:pPr>
          </w:p>
        </w:tc>
        <w:tc>
          <w:tcPr>
            <w:tcW w:w="1049" w:type="dxa"/>
            <w:vMerge w:val="continue"/>
            <w:tcBorders>
              <w:right w:val="single" w:color="auto" w:sz="4" w:space="0"/>
            </w:tcBorders>
            <w:vAlign w:val="center"/>
          </w:tcPr>
          <w:p w14:paraId="010544C3">
            <w:pPr>
              <w:adjustRightInd w:val="0"/>
              <w:snapToGrid w:val="0"/>
              <w:jc w:val="center"/>
              <w:rPr>
                <w:rFonts w:ascii="宋体" w:hAnsi="宋体" w:cs="宋体"/>
              </w:rPr>
            </w:pPr>
          </w:p>
        </w:tc>
        <w:tc>
          <w:tcPr>
            <w:tcW w:w="1275" w:type="dxa"/>
            <w:tcBorders>
              <w:top w:val="single" w:color="auto" w:sz="4" w:space="0"/>
              <w:left w:val="single" w:color="auto" w:sz="4" w:space="0"/>
              <w:right w:val="single" w:color="auto" w:sz="4" w:space="0"/>
            </w:tcBorders>
            <w:shd w:val="clear" w:color="auto" w:fill="auto"/>
            <w:vAlign w:val="center"/>
          </w:tcPr>
          <w:p w14:paraId="54F0F81A">
            <w:pPr>
              <w:adjustRightInd w:val="0"/>
              <w:snapToGrid w:val="0"/>
              <w:jc w:val="center"/>
              <w:rPr>
                <w:rFonts w:ascii="宋体" w:hAnsi="宋体" w:cs="宋体"/>
                <w:szCs w:val="21"/>
              </w:rPr>
            </w:pPr>
            <w:r>
              <w:rPr>
                <w:rFonts w:hint="eastAsia" w:ascii="宋体" w:hAnsi="宋体" w:cs="宋体"/>
                <w:szCs w:val="21"/>
              </w:rPr>
              <w:t>项目组人员配备情况</w:t>
            </w:r>
          </w:p>
          <w:p w14:paraId="09C6A16E">
            <w:pPr>
              <w:adjustRightInd w:val="0"/>
              <w:snapToGrid w:val="0"/>
              <w:jc w:val="center"/>
              <w:rPr>
                <w:rFonts w:hint="eastAsia" w:ascii="宋体" w:hAnsi="宋体" w:eastAsia="宋体" w:cs="宋体"/>
                <w:kern w:val="2"/>
                <w:sz w:val="21"/>
                <w:szCs w:val="24"/>
                <w:lang w:val="en-US" w:eastAsia="zh-CN" w:bidi="ar-SA"/>
              </w:rPr>
            </w:pPr>
            <w:r>
              <w:rPr>
                <w:rFonts w:hint="eastAsia" w:ascii="宋体" w:hAnsi="宋体" w:cs="宋体"/>
                <w:szCs w:val="21"/>
              </w:rPr>
              <w:t>（</w:t>
            </w:r>
            <w:r>
              <w:rPr>
                <w:rFonts w:hint="eastAsia" w:ascii="宋体" w:hAnsi="宋体" w:cs="宋体"/>
                <w:szCs w:val="21"/>
                <w:lang w:val="en-US" w:eastAsia="zh-CN"/>
              </w:rPr>
              <w:t>6</w:t>
            </w:r>
            <w:r>
              <w:rPr>
                <w:rFonts w:hint="eastAsia" w:ascii="宋体" w:hAnsi="宋体" w:cs="宋体"/>
                <w:szCs w:val="21"/>
              </w:rPr>
              <w:t>分）</w:t>
            </w:r>
          </w:p>
        </w:tc>
        <w:tc>
          <w:tcPr>
            <w:tcW w:w="594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F85AE05">
            <w:pPr>
              <w:adjustRightInd w:val="0"/>
              <w:snapToGrid w:val="0"/>
              <w:jc w:val="left"/>
              <w:rPr>
                <w:rFonts w:ascii="宋体" w:hAnsi="宋体" w:cs="宋体"/>
                <w:szCs w:val="21"/>
              </w:rPr>
            </w:pPr>
            <w:r>
              <w:rPr>
                <w:rFonts w:hint="eastAsia" w:ascii="宋体" w:hAnsi="宋体" w:cs="宋体"/>
                <w:szCs w:val="21"/>
              </w:rPr>
              <w:t>1、、项目负责人为注册测绘师且具有中级及以上职称，得3分。</w:t>
            </w:r>
          </w:p>
          <w:p w14:paraId="7B5463A2">
            <w:pPr>
              <w:adjustRightInd w:val="0"/>
              <w:snapToGrid w:val="0"/>
              <w:jc w:val="left"/>
              <w:rPr>
                <w:rFonts w:ascii="宋体" w:hAnsi="宋体" w:cs="宋体"/>
                <w:color w:val="auto"/>
                <w:szCs w:val="21"/>
              </w:rPr>
            </w:pPr>
            <w:r>
              <w:rPr>
                <w:rFonts w:hint="eastAsia" w:ascii="宋体" w:hAnsi="宋体" w:cs="宋体"/>
                <w:color w:val="auto"/>
                <w:szCs w:val="21"/>
              </w:rPr>
              <w:t>2、除项目负责人外，项目组成员每增加一名</w:t>
            </w:r>
            <w:r>
              <w:rPr>
                <w:rFonts w:hint="eastAsia" w:ascii="宋体" w:hAnsi="宋体" w:cs="宋体"/>
                <w:color w:val="auto"/>
                <w:szCs w:val="21"/>
                <w:lang w:eastAsia="zh-CN"/>
              </w:rPr>
              <w:t>水利相关专业或</w:t>
            </w:r>
            <w:r>
              <w:rPr>
                <w:rFonts w:hint="eastAsia" w:ascii="宋体" w:hAnsi="宋体" w:cs="宋体"/>
                <w:color w:val="auto"/>
                <w:szCs w:val="21"/>
              </w:rPr>
              <w:t>测绘专业工程师得0.5分，最高得3分。</w:t>
            </w:r>
          </w:p>
          <w:p w14:paraId="1C498972">
            <w:pPr>
              <w:adjustRightInd w:val="0"/>
              <w:snapToGrid w:val="0"/>
              <w:jc w:val="left"/>
              <w:rPr>
                <w:rFonts w:ascii="宋体" w:hAnsi="宋体" w:cs="宋体"/>
                <w:szCs w:val="21"/>
              </w:rPr>
            </w:pPr>
            <w:r>
              <w:rPr>
                <w:rFonts w:hint="eastAsia" w:ascii="宋体" w:hAnsi="宋体" w:cs="宋体"/>
                <w:szCs w:val="21"/>
              </w:rPr>
              <w:t>成员每增加一名水利相关专业工程师得1分，最高得</w:t>
            </w:r>
            <w:r>
              <w:rPr>
                <w:rFonts w:hint="eastAsia" w:ascii="宋体" w:hAnsi="宋体" w:cs="宋体"/>
                <w:szCs w:val="21"/>
                <w:lang w:val="en-US" w:eastAsia="zh-CN"/>
              </w:rPr>
              <w:t>3</w:t>
            </w:r>
            <w:r>
              <w:rPr>
                <w:rFonts w:hint="eastAsia" w:ascii="宋体" w:hAnsi="宋体" w:cs="宋体"/>
                <w:szCs w:val="21"/>
              </w:rPr>
              <w:t>分。</w:t>
            </w:r>
          </w:p>
          <w:p w14:paraId="6A3C66A0">
            <w:pPr>
              <w:adjustRightInd w:val="0"/>
              <w:snapToGrid w:val="0"/>
              <w:jc w:val="left"/>
              <w:rPr>
                <w:rFonts w:hint="eastAsia" w:ascii="宋体" w:hAnsi="宋体" w:eastAsia="宋体" w:cs="宋体"/>
                <w:kern w:val="2"/>
                <w:sz w:val="21"/>
                <w:szCs w:val="21"/>
                <w:lang w:val="en-US" w:eastAsia="zh-CN" w:bidi="ar-SA"/>
              </w:rPr>
            </w:pPr>
            <w:r>
              <w:rPr>
                <w:rFonts w:hint="eastAsia" w:ascii="宋体" w:hAnsi="宋体" w:cs="宋体"/>
                <w:szCs w:val="21"/>
              </w:rPr>
              <w:t>（提供相关职称证书的扫描件，否则不得分）</w:t>
            </w:r>
          </w:p>
        </w:tc>
      </w:tr>
      <w:tr w14:paraId="65D722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80" w:hRule="atLeast"/>
          <w:jc w:val="center"/>
        </w:trPr>
        <w:tc>
          <w:tcPr>
            <w:tcW w:w="787" w:type="dxa"/>
            <w:vMerge w:val="restart"/>
            <w:tcBorders>
              <w:top w:val="single" w:color="auto" w:sz="4" w:space="0"/>
              <w:left w:val="single" w:color="auto" w:sz="4" w:space="0"/>
              <w:right w:val="single" w:color="auto" w:sz="4" w:space="0"/>
            </w:tcBorders>
            <w:vAlign w:val="center"/>
          </w:tcPr>
          <w:p w14:paraId="6805CA00">
            <w:pPr>
              <w:adjustRightInd w:val="0"/>
              <w:snapToGrid w:val="0"/>
              <w:jc w:val="center"/>
              <w:rPr>
                <w:rFonts w:ascii="宋体" w:hAnsi="宋体" w:cs="宋体"/>
              </w:rPr>
            </w:pPr>
            <w:r>
              <w:rPr>
                <w:rFonts w:hint="eastAsia" w:ascii="宋体" w:hAnsi="宋体" w:cs="宋体"/>
              </w:rPr>
              <w:t>2.2.2（3）</w:t>
            </w:r>
          </w:p>
        </w:tc>
        <w:tc>
          <w:tcPr>
            <w:tcW w:w="1049" w:type="dxa"/>
            <w:vMerge w:val="restart"/>
            <w:tcBorders>
              <w:top w:val="single" w:color="auto" w:sz="4" w:space="0"/>
              <w:left w:val="single" w:color="auto" w:sz="4" w:space="0"/>
              <w:right w:val="single" w:color="auto" w:sz="4" w:space="0"/>
            </w:tcBorders>
            <w:vAlign w:val="center"/>
          </w:tcPr>
          <w:p w14:paraId="3BDACA6A">
            <w:pPr>
              <w:adjustRightInd w:val="0"/>
              <w:snapToGrid w:val="0"/>
              <w:jc w:val="left"/>
              <w:rPr>
                <w:rFonts w:ascii="宋体" w:hAnsi="宋体" w:cs="宋体"/>
              </w:rPr>
            </w:pPr>
            <w:r>
              <w:rPr>
                <w:rFonts w:hint="eastAsia" w:ascii="宋体" w:hAnsi="宋体" w:cs="宋体"/>
              </w:rPr>
              <w:t>技术部分评审（60分）</w:t>
            </w:r>
          </w:p>
        </w:tc>
        <w:tc>
          <w:tcPr>
            <w:tcW w:w="128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0442A1E">
            <w:pPr>
              <w:pStyle w:val="8"/>
              <w:adjustRightInd w:val="0"/>
              <w:snapToGrid w:val="0"/>
              <w:ind w:left="63" w:right="50"/>
              <w:jc w:val="center"/>
              <w:rPr>
                <w:rFonts w:ascii="宋体" w:hAnsi="宋体" w:cs="宋体"/>
                <w:sz w:val="21"/>
                <w:szCs w:val="21"/>
                <w:lang w:eastAsia="zh-CN"/>
              </w:rPr>
            </w:pPr>
            <w:r>
              <w:rPr>
                <w:rFonts w:hint="eastAsia" w:ascii="宋体" w:hAnsi="宋体" w:cs="宋体"/>
                <w:sz w:val="21"/>
                <w:szCs w:val="21"/>
                <w:lang w:eastAsia="zh-CN"/>
              </w:rPr>
              <w:t>技术方案</w:t>
            </w:r>
            <w:r>
              <w:rPr>
                <w:rFonts w:hint="eastAsia" w:ascii="宋体" w:hAnsi="宋体" w:cs="宋体"/>
              </w:rPr>
              <w:t>（</w:t>
            </w:r>
            <w:r>
              <w:rPr>
                <w:rFonts w:hint="eastAsia" w:ascii="宋体" w:hAnsi="宋体" w:cs="宋体"/>
                <w:lang w:eastAsia="zh-CN"/>
              </w:rPr>
              <w:t>30</w:t>
            </w:r>
            <w:r>
              <w:rPr>
                <w:rFonts w:hint="eastAsia" w:ascii="宋体" w:hAnsi="宋体" w:cs="宋体"/>
              </w:rPr>
              <w:t>分）</w:t>
            </w:r>
          </w:p>
        </w:tc>
        <w:tc>
          <w:tcPr>
            <w:tcW w:w="5939" w:type="dxa"/>
            <w:tcBorders>
              <w:top w:val="single" w:color="auto" w:sz="4" w:space="0"/>
              <w:left w:val="single" w:color="auto" w:sz="4" w:space="0"/>
              <w:bottom w:val="single" w:color="auto" w:sz="4" w:space="0"/>
              <w:right w:val="single" w:color="auto" w:sz="4" w:space="0"/>
            </w:tcBorders>
            <w:shd w:val="clear" w:color="auto" w:fill="auto"/>
            <w:vAlign w:val="center"/>
          </w:tcPr>
          <w:p w14:paraId="1818C950">
            <w:pPr>
              <w:adjustRightInd w:val="0"/>
              <w:snapToGrid w:val="0"/>
              <w:rPr>
                <w:rFonts w:ascii="宋体" w:hAnsi="宋体" w:cs="宋体"/>
                <w:szCs w:val="21"/>
              </w:rPr>
            </w:pPr>
            <w:r>
              <w:rPr>
                <w:rFonts w:hint="eastAsia" w:ascii="宋体" w:hAnsi="宋体" w:cs="宋体"/>
                <w:szCs w:val="21"/>
              </w:rPr>
              <w:t>对供应商技术服务实施方案进行评审：</w:t>
            </w:r>
          </w:p>
          <w:p w14:paraId="41A498EE">
            <w:pPr>
              <w:adjustRightInd w:val="0"/>
              <w:snapToGrid w:val="0"/>
              <w:rPr>
                <w:rFonts w:ascii="宋体" w:hAnsi="宋体" w:cs="宋体"/>
                <w:szCs w:val="21"/>
              </w:rPr>
            </w:pPr>
            <w:r>
              <w:rPr>
                <w:rFonts w:hint="eastAsia" w:ascii="宋体" w:hAnsi="宋体" w:cs="宋体"/>
                <w:szCs w:val="21"/>
              </w:rPr>
              <w:t>1、总体方案切实可行，得30分；</w:t>
            </w:r>
          </w:p>
          <w:p w14:paraId="65099C05">
            <w:pPr>
              <w:adjustRightInd w:val="0"/>
              <w:snapToGrid w:val="0"/>
              <w:rPr>
                <w:rFonts w:ascii="宋体" w:hAnsi="宋体" w:cs="宋体"/>
                <w:szCs w:val="21"/>
              </w:rPr>
            </w:pPr>
            <w:r>
              <w:rPr>
                <w:rFonts w:hint="eastAsia" w:ascii="宋体" w:hAnsi="宋体" w:cs="宋体"/>
                <w:szCs w:val="21"/>
              </w:rPr>
              <w:t>2、总体方案较为切合实际，得20分；</w:t>
            </w:r>
          </w:p>
          <w:p w14:paraId="2897A6AE">
            <w:pPr>
              <w:adjustRightInd w:val="0"/>
              <w:snapToGrid w:val="0"/>
              <w:rPr>
                <w:rFonts w:ascii="宋体" w:hAnsi="宋体" w:cs="宋体"/>
                <w:szCs w:val="21"/>
              </w:rPr>
            </w:pPr>
            <w:r>
              <w:rPr>
                <w:rFonts w:hint="eastAsia" w:ascii="宋体" w:hAnsi="宋体" w:cs="宋体"/>
                <w:szCs w:val="21"/>
              </w:rPr>
              <w:t>3、总体方案一般，得10分。</w:t>
            </w:r>
          </w:p>
        </w:tc>
      </w:tr>
      <w:tr w14:paraId="68B63A2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80" w:hRule="atLeast"/>
          <w:jc w:val="center"/>
        </w:trPr>
        <w:tc>
          <w:tcPr>
            <w:tcW w:w="787" w:type="dxa"/>
            <w:vMerge w:val="continue"/>
            <w:tcBorders>
              <w:left w:val="single" w:color="auto" w:sz="4" w:space="0"/>
              <w:right w:val="single" w:color="auto" w:sz="4" w:space="0"/>
            </w:tcBorders>
            <w:vAlign w:val="center"/>
          </w:tcPr>
          <w:p w14:paraId="5E06AB25">
            <w:pPr>
              <w:adjustRightInd w:val="0"/>
              <w:snapToGrid w:val="0"/>
              <w:jc w:val="center"/>
              <w:rPr>
                <w:rFonts w:ascii="宋体" w:hAnsi="宋体" w:cs="宋体"/>
              </w:rPr>
            </w:pPr>
          </w:p>
        </w:tc>
        <w:tc>
          <w:tcPr>
            <w:tcW w:w="1049" w:type="dxa"/>
            <w:vMerge w:val="continue"/>
            <w:tcBorders>
              <w:left w:val="single" w:color="auto" w:sz="4" w:space="0"/>
              <w:right w:val="single" w:color="auto" w:sz="4" w:space="0"/>
            </w:tcBorders>
            <w:vAlign w:val="center"/>
          </w:tcPr>
          <w:p w14:paraId="630940B8">
            <w:pPr>
              <w:adjustRightInd w:val="0"/>
              <w:snapToGrid w:val="0"/>
              <w:jc w:val="left"/>
              <w:rPr>
                <w:rFonts w:ascii="宋体" w:hAnsi="宋体" w:cs="宋体"/>
              </w:rPr>
            </w:pPr>
          </w:p>
        </w:tc>
        <w:tc>
          <w:tcPr>
            <w:tcW w:w="128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80ACC4B">
            <w:pPr>
              <w:pStyle w:val="8"/>
              <w:adjustRightInd w:val="0"/>
              <w:snapToGrid w:val="0"/>
              <w:ind w:left="63" w:right="50"/>
              <w:jc w:val="center"/>
              <w:rPr>
                <w:rFonts w:ascii="宋体" w:hAnsi="宋体" w:cs="宋体"/>
                <w:sz w:val="21"/>
                <w:szCs w:val="21"/>
                <w:lang w:eastAsia="zh-CN"/>
              </w:rPr>
            </w:pPr>
            <w:r>
              <w:rPr>
                <w:rFonts w:hint="eastAsia" w:ascii="宋体" w:hAnsi="宋体" w:cs="宋体"/>
                <w:sz w:val="21"/>
                <w:szCs w:val="21"/>
                <w:lang w:eastAsia="zh-CN"/>
              </w:rPr>
              <w:t>进度和质量保证措施</w:t>
            </w:r>
          </w:p>
          <w:p w14:paraId="5DA80EBF">
            <w:pPr>
              <w:pStyle w:val="8"/>
              <w:adjustRightInd w:val="0"/>
              <w:snapToGrid w:val="0"/>
              <w:ind w:left="63" w:right="50"/>
              <w:jc w:val="center"/>
              <w:rPr>
                <w:rFonts w:ascii="宋体" w:hAnsi="宋体" w:cs="宋体"/>
                <w:sz w:val="21"/>
                <w:szCs w:val="21"/>
                <w:lang w:eastAsia="zh-CN"/>
              </w:rPr>
            </w:pPr>
            <w:r>
              <w:rPr>
                <w:rFonts w:hint="eastAsia" w:ascii="宋体" w:hAnsi="宋体" w:cs="宋体"/>
                <w:lang w:eastAsia="zh-CN"/>
              </w:rPr>
              <w:t>（30分）</w:t>
            </w:r>
          </w:p>
        </w:tc>
        <w:tc>
          <w:tcPr>
            <w:tcW w:w="5939" w:type="dxa"/>
            <w:tcBorders>
              <w:top w:val="single" w:color="auto" w:sz="4" w:space="0"/>
              <w:left w:val="single" w:color="auto" w:sz="4" w:space="0"/>
              <w:bottom w:val="single" w:color="auto" w:sz="4" w:space="0"/>
              <w:right w:val="single" w:color="auto" w:sz="4" w:space="0"/>
            </w:tcBorders>
            <w:shd w:val="clear" w:color="auto" w:fill="auto"/>
            <w:vAlign w:val="center"/>
          </w:tcPr>
          <w:p w14:paraId="3D9C30D5">
            <w:pPr>
              <w:adjustRightInd w:val="0"/>
              <w:snapToGrid w:val="0"/>
              <w:rPr>
                <w:rFonts w:ascii="宋体" w:hAnsi="宋体" w:cs="宋体"/>
                <w:szCs w:val="21"/>
              </w:rPr>
            </w:pPr>
            <w:r>
              <w:rPr>
                <w:rFonts w:hint="eastAsia" w:ascii="宋体" w:hAnsi="宋体" w:cs="宋体"/>
                <w:szCs w:val="21"/>
              </w:rPr>
              <w:t>对供应商进度和质量保证措施进行评审：</w:t>
            </w:r>
          </w:p>
          <w:p w14:paraId="63A653BD">
            <w:pPr>
              <w:adjustRightInd w:val="0"/>
              <w:snapToGrid w:val="0"/>
              <w:rPr>
                <w:rFonts w:ascii="宋体" w:hAnsi="宋体" w:cs="宋体"/>
                <w:szCs w:val="21"/>
              </w:rPr>
            </w:pPr>
            <w:r>
              <w:rPr>
                <w:rFonts w:hint="eastAsia" w:ascii="宋体" w:hAnsi="宋体" w:cs="宋体"/>
                <w:szCs w:val="21"/>
              </w:rPr>
              <w:t>1、切实可行，针对性强的，得30分；</w:t>
            </w:r>
          </w:p>
          <w:p w14:paraId="7D0D1B98">
            <w:pPr>
              <w:adjustRightInd w:val="0"/>
              <w:snapToGrid w:val="0"/>
              <w:rPr>
                <w:rFonts w:ascii="宋体" w:hAnsi="宋体" w:cs="宋体"/>
                <w:szCs w:val="21"/>
              </w:rPr>
            </w:pPr>
            <w:r>
              <w:rPr>
                <w:rFonts w:hint="eastAsia" w:ascii="宋体" w:hAnsi="宋体" w:cs="宋体"/>
                <w:szCs w:val="21"/>
              </w:rPr>
              <w:t>2、较切实可行，针对性较强的，得20分；</w:t>
            </w:r>
          </w:p>
          <w:p w14:paraId="07E3ECAC">
            <w:pPr>
              <w:adjustRightInd w:val="0"/>
              <w:snapToGrid w:val="0"/>
              <w:rPr>
                <w:rFonts w:ascii="宋体" w:hAnsi="宋体" w:cs="宋体"/>
                <w:szCs w:val="21"/>
              </w:rPr>
            </w:pPr>
            <w:r>
              <w:rPr>
                <w:rFonts w:hint="eastAsia" w:ascii="宋体" w:hAnsi="宋体" w:cs="宋体"/>
                <w:szCs w:val="21"/>
              </w:rPr>
              <w:t>3、措施一般的，得10分。</w:t>
            </w:r>
          </w:p>
        </w:tc>
      </w:tr>
    </w:tbl>
    <w:p w14:paraId="577933C2">
      <w:pPr>
        <w:spacing w:line="400" w:lineRule="exact"/>
        <w:outlineLvl w:val="0"/>
        <w:rPr>
          <w:rFonts w:ascii="宋体" w:hAnsi="宋体"/>
          <w:b/>
          <w:bCs/>
          <w:spacing w:val="2"/>
          <w:szCs w:val="21"/>
        </w:rPr>
      </w:pPr>
    </w:p>
    <w:p w14:paraId="4ADF4D98">
      <w:pPr>
        <w:spacing w:line="480" w:lineRule="exact"/>
        <w:rPr>
          <w:rFonts w:ascii="宋体" w:hAnsi="宋体" w:cs="宋体"/>
          <w:b/>
          <w:bCs/>
          <w:color w:val="000000"/>
          <w:kern w:val="0"/>
          <w:sz w:val="25"/>
          <w:szCs w:val="25"/>
          <w:lang w:bidi="ar"/>
        </w:rPr>
      </w:pPr>
      <w:r>
        <w:rPr>
          <w:rFonts w:hint="eastAsia" w:ascii="宋体" w:hAnsi="宋体" w:cs="宋体"/>
          <w:b/>
          <w:bCs/>
          <w:color w:val="000000"/>
          <w:kern w:val="0"/>
          <w:sz w:val="25"/>
          <w:szCs w:val="25"/>
          <w:lang w:bidi="ar"/>
        </w:rPr>
        <w:t>1. 评审方法</w:t>
      </w:r>
    </w:p>
    <w:p w14:paraId="3A45392E">
      <w:pPr>
        <w:spacing w:line="480" w:lineRule="exact"/>
        <w:ind w:firstLine="500" w:firstLineChars="200"/>
        <w:rPr>
          <w:rFonts w:ascii="宋体" w:hAnsi="宋体" w:cs="宋体"/>
          <w:color w:val="000000"/>
          <w:kern w:val="0"/>
          <w:sz w:val="25"/>
          <w:szCs w:val="25"/>
          <w:lang w:bidi="ar"/>
        </w:rPr>
      </w:pPr>
      <w:bookmarkStart w:id="0" w:name="_Toc3444031"/>
      <w:r>
        <w:rPr>
          <w:rFonts w:hint="eastAsia" w:ascii="宋体" w:hAnsi="宋体" w:cs="宋体"/>
          <w:color w:val="000000"/>
          <w:kern w:val="0"/>
          <w:sz w:val="25"/>
          <w:szCs w:val="25"/>
          <w:lang w:bidi="ar"/>
        </w:rPr>
        <w:t>本次评审采用综合评估法。评审委员会对满足询价文件实质性要求的响应文件，按照第2.2款规定的评分标准进行打分，并按得分由高到低顺序推荐中选候选人，并标明排序；综合评分相等时，以响应报价低的优先；如果响应报价相同时，以技术部分评分标准得分高的优先；如果技术部分评分标准得分也相等，由评审委员会投票确定。</w:t>
      </w:r>
    </w:p>
    <w:p w14:paraId="6A118DFE">
      <w:pPr>
        <w:spacing w:line="480" w:lineRule="exact"/>
        <w:rPr>
          <w:rFonts w:ascii="宋体" w:hAnsi="宋体" w:cs="宋体"/>
          <w:b/>
          <w:bCs/>
          <w:color w:val="000000"/>
          <w:kern w:val="0"/>
          <w:sz w:val="25"/>
          <w:szCs w:val="25"/>
          <w:lang w:bidi="ar"/>
        </w:rPr>
      </w:pPr>
      <w:r>
        <w:rPr>
          <w:rFonts w:hint="eastAsia" w:ascii="宋体" w:hAnsi="宋体" w:cs="宋体"/>
          <w:b/>
          <w:bCs/>
          <w:color w:val="000000"/>
          <w:kern w:val="0"/>
          <w:sz w:val="25"/>
          <w:szCs w:val="25"/>
          <w:lang w:bidi="ar"/>
        </w:rPr>
        <w:t>2. 评审标准</w:t>
      </w:r>
      <w:bookmarkEnd w:id="0"/>
    </w:p>
    <w:p w14:paraId="4E079E8A">
      <w:pPr>
        <w:spacing w:line="480" w:lineRule="exact"/>
        <w:rPr>
          <w:rFonts w:ascii="宋体" w:hAnsi="宋体" w:cs="宋体"/>
          <w:b/>
          <w:bCs/>
          <w:color w:val="000000"/>
          <w:kern w:val="0"/>
          <w:sz w:val="25"/>
          <w:szCs w:val="25"/>
          <w:lang w:bidi="ar"/>
        </w:rPr>
      </w:pPr>
      <w:bookmarkStart w:id="1" w:name="_Toc3444032"/>
      <w:r>
        <w:rPr>
          <w:rFonts w:hint="eastAsia" w:ascii="宋体" w:hAnsi="宋体" w:cs="宋体"/>
          <w:b/>
          <w:bCs/>
          <w:color w:val="000000"/>
          <w:kern w:val="0"/>
          <w:sz w:val="25"/>
          <w:szCs w:val="25"/>
          <w:lang w:bidi="ar"/>
        </w:rPr>
        <w:t>2.1 初步评审标准</w:t>
      </w:r>
      <w:bookmarkEnd w:id="1"/>
    </w:p>
    <w:p w14:paraId="0DB4902A">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2.1.1 形式评审标准：见评审办法前附表。</w:t>
      </w:r>
    </w:p>
    <w:p w14:paraId="4D32B10E">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2.1.2 资格评审标准：见评审办法前附表。</w:t>
      </w:r>
    </w:p>
    <w:p w14:paraId="07E08F49">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2.1.3 响应性评审标准：见评审办法前附表。</w:t>
      </w:r>
    </w:p>
    <w:p w14:paraId="6C41DBF1">
      <w:pPr>
        <w:spacing w:line="480" w:lineRule="exact"/>
        <w:rPr>
          <w:rFonts w:ascii="宋体" w:hAnsi="宋体" w:cs="宋体"/>
          <w:b/>
          <w:bCs/>
          <w:color w:val="000000"/>
          <w:kern w:val="0"/>
          <w:sz w:val="25"/>
          <w:szCs w:val="25"/>
          <w:lang w:bidi="ar"/>
        </w:rPr>
      </w:pPr>
      <w:bookmarkStart w:id="2" w:name="_Toc3444033"/>
      <w:r>
        <w:rPr>
          <w:rFonts w:hint="eastAsia" w:ascii="宋体" w:hAnsi="宋体" w:cs="宋体"/>
          <w:b/>
          <w:bCs/>
          <w:color w:val="000000"/>
          <w:kern w:val="0"/>
          <w:sz w:val="25"/>
          <w:szCs w:val="25"/>
          <w:lang w:bidi="ar"/>
        </w:rPr>
        <w:t>2.2 详细评审标准</w:t>
      </w:r>
      <w:bookmarkEnd w:id="2"/>
    </w:p>
    <w:p w14:paraId="2C0EBFFA">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2.2.1 分值构成</w:t>
      </w:r>
    </w:p>
    <w:p w14:paraId="1C8EA51E">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（1）响应报价评审：见评审办法前附表；</w:t>
      </w:r>
    </w:p>
    <w:p w14:paraId="2D1B5E8C">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（2）商务部分评审：见评审办法前附表；</w:t>
      </w:r>
    </w:p>
    <w:p w14:paraId="2CC77C59">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（3）技术部分评审：见评审办法前附表；</w:t>
      </w:r>
    </w:p>
    <w:p w14:paraId="61329AB3">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2.2.2 评分标准</w:t>
      </w:r>
    </w:p>
    <w:p w14:paraId="7AD21472">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（1）响应报价评分标准：见评审办法前附表；</w:t>
      </w:r>
    </w:p>
    <w:p w14:paraId="1F0CFB45">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（2）商务部分评分标准：见评审办法前附表；</w:t>
      </w:r>
    </w:p>
    <w:p w14:paraId="0964CDE3">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（3）技术部分评分标准：见评审办法前附表。</w:t>
      </w:r>
    </w:p>
    <w:p w14:paraId="28DE49B4">
      <w:pPr>
        <w:spacing w:line="480" w:lineRule="exact"/>
        <w:rPr>
          <w:rFonts w:ascii="宋体" w:hAnsi="宋体" w:cs="宋体"/>
          <w:b/>
          <w:bCs/>
          <w:color w:val="000000"/>
          <w:kern w:val="0"/>
          <w:sz w:val="25"/>
          <w:szCs w:val="25"/>
          <w:lang w:bidi="ar"/>
        </w:rPr>
      </w:pPr>
      <w:bookmarkStart w:id="3" w:name="_Toc3444034"/>
      <w:r>
        <w:rPr>
          <w:rFonts w:hint="eastAsia" w:ascii="宋体" w:hAnsi="宋体" w:cs="宋体"/>
          <w:b/>
          <w:bCs/>
          <w:color w:val="000000"/>
          <w:kern w:val="0"/>
          <w:sz w:val="25"/>
          <w:szCs w:val="25"/>
          <w:lang w:bidi="ar"/>
        </w:rPr>
        <w:t>3. 评审程序</w:t>
      </w:r>
      <w:bookmarkEnd w:id="3"/>
    </w:p>
    <w:p w14:paraId="351873A2">
      <w:pPr>
        <w:spacing w:line="480" w:lineRule="exact"/>
        <w:rPr>
          <w:rFonts w:ascii="宋体" w:hAnsi="宋体" w:cs="宋体"/>
          <w:b/>
          <w:bCs/>
          <w:color w:val="000000"/>
          <w:kern w:val="0"/>
          <w:sz w:val="25"/>
          <w:szCs w:val="25"/>
          <w:lang w:bidi="ar"/>
        </w:rPr>
      </w:pPr>
      <w:bookmarkStart w:id="4" w:name="_Toc3444035"/>
      <w:r>
        <w:rPr>
          <w:rFonts w:hint="eastAsia" w:ascii="宋体" w:hAnsi="宋体" w:cs="宋体"/>
          <w:b/>
          <w:bCs/>
          <w:color w:val="000000"/>
          <w:kern w:val="0"/>
          <w:sz w:val="25"/>
          <w:szCs w:val="25"/>
          <w:lang w:bidi="ar"/>
        </w:rPr>
        <w:t>3.1 初步评审</w:t>
      </w:r>
      <w:bookmarkEnd w:id="4"/>
    </w:p>
    <w:p w14:paraId="711DE700">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3.1.1 评审委员会依据第2.1款规定的标准对响应文件进行初步评审。有一项不符合评审标准的，评审委员会应当否决其响应文件。</w:t>
      </w:r>
    </w:p>
    <w:p w14:paraId="768BFC39">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3.1.2 响应人有以下情形之一的，评审委员会应当否决其响应文件：</w:t>
      </w:r>
    </w:p>
    <w:p w14:paraId="2096289B">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（1）响应文件没有对询价文件的实质性要求和条件作出响应，或者对询价文件的偏差超出询价文件规定的偏差范围或最高项数；</w:t>
      </w:r>
    </w:p>
    <w:p w14:paraId="7A4FD443">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（2）有串通、弄虚作假、行贿等违法行为。</w:t>
      </w:r>
    </w:p>
    <w:p w14:paraId="25B910CB">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3.1.3 响应报价有算术错误及其他错误的，评审委员会按以下原则要求响应人对报价进</w:t>
      </w:r>
      <w:bookmarkStart w:id="5" w:name="_Toc369531582"/>
      <w:bookmarkStart w:id="6" w:name="_Toc247527628"/>
      <w:bookmarkStart w:id="7" w:name="_Toc144974570"/>
      <w:bookmarkStart w:id="8" w:name="_Toc152045603"/>
      <w:bookmarkStart w:id="9" w:name="_Toc352691538"/>
      <w:bookmarkStart w:id="10" w:name="_Toc300835013"/>
      <w:bookmarkStart w:id="11" w:name="_Toc384308277"/>
      <w:bookmarkStart w:id="12" w:name="_Toc361508651"/>
      <w:bookmarkStart w:id="13" w:name="_Toc152042380"/>
      <w:bookmarkStart w:id="14" w:name="_Toc2907"/>
      <w:bookmarkStart w:id="15" w:name="_Toc247514027"/>
      <w:r>
        <w:rPr>
          <w:rFonts w:hint="eastAsia" w:ascii="宋体" w:hAnsi="宋体" w:cs="宋体"/>
          <w:color w:val="000000"/>
          <w:kern w:val="0"/>
          <w:sz w:val="25"/>
          <w:szCs w:val="25"/>
          <w:lang w:bidi="ar"/>
        </w:rPr>
        <w:t>行修正，并要求响应人书面澄清确认。</w:t>
      </w:r>
      <w:bookmarkEnd w:id="5"/>
      <w:bookmarkEnd w:id="6"/>
      <w:bookmarkEnd w:id="7"/>
      <w:bookmarkEnd w:id="8"/>
      <w:bookmarkEnd w:id="9"/>
      <w:bookmarkEnd w:id="10"/>
      <w:bookmarkEnd w:id="11"/>
      <w:bookmarkEnd w:id="12"/>
      <w:bookmarkEnd w:id="13"/>
      <w:bookmarkEnd w:id="14"/>
      <w:bookmarkEnd w:id="15"/>
      <w:r>
        <w:rPr>
          <w:rFonts w:hint="eastAsia" w:ascii="宋体" w:hAnsi="宋体" w:cs="宋体"/>
          <w:color w:val="000000"/>
          <w:kern w:val="0"/>
          <w:sz w:val="25"/>
          <w:szCs w:val="25"/>
          <w:lang w:bidi="ar"/>
        </w:rPr>
        <w:t>响应人拒不澄清确认的，评审委员会应当否决其询价：</w:t>
      </w:r>
    </w:p>
    <w:p w14:paraId="70D59A6A">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（1）响应文件中的大写金额与小写金额不一致的，以大写金额为准；</w:t>
      </w:r>
    </w:p>
    <w:p w14:paraId="4F6B542E">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（2）总价金额与单价金额不一致的，以单价金额为准，但单价金额小数点有明显错误的除外。</w:t>
      </w:r>
    </w:p>
    <w:p w14:paraId="0ECC705C">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3.1.4 响应人未按响应文件格式编制响应文件的。</w:t>
      </w:r>
    </w:p>
    <w:p w14:paraId="7B5DA615">
      <w:pPr>
        <w:spacing w:line="480" w:lineRule="exact"/>
        <w:rPr>
          <w:rFonts w:ascii="宋体" w:hAnsi="宋体" w:cs="宋体"/>
          <w:b/>
          <w:bCs/>
          <w:color w:val="000000"/>
          <w:kern w:val="0"/>
          <w:sz w:val="25"/>
          <w:szCs w:val="25"/>
          <w:lang w:bidi="ar"/>
        </w:rPr>
      </w:pPr>
      <w:bookmarkStart w:id="16" w:name="_Toc3444036"/>
      <w:r>
        <w:rPr>
          <w:rFonts w:hint="eastAsia" w:ascii="宋体" w:hAnsi="宋体" w:cs="宋体"/>
          <w:b/>
          <w:bCs/>
          <w:color w:val="000000"/>
          <w:kern w:val="0"/>
          <w:sz w:val="25"/>
          <w:szCs w:val="25"/>
          <w:lang w:bidi="ar"/>
        </w:rPr>
        <w:t>3.2 详细评审</w:t>
      </w:r>
      <w:bookmarkEnd w:id="16"/>
    </w:p>
    <w:p w14:paraId="68E54B1F">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3.2.1 评审委员会按第2.2款规定的量化因素和分值进行打分，并计算出综合评估得分。</w:t>
      </w:r>
    </w:p>
    <w:p w14:paraId="680DDC6F">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（1）按评审办法规定的询价报价评审标准计算出得分A；</w:t>
      </w:r>
    </w:p>
    <w:p w14:paraId="6128E5E6">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（2）按评审办法规定的商务部分评审标准计算出得分B；</w:t>
      </w:r>
    </w:p>
    <w:p w14:paraId="0321F6D7">
      <w:pPr>
        <w:spacing w:line="480" w:lineRule="exact"/>
        <w:ind w:firstLine="500" w:firstLineChars="200"/>
        <w:rPr>
          <w:rFonts w:ascii="宋体" w:hAnsi="宋体" w:cs="宋体"/>
          <w:color w:val="000000"/>
          <w:kern w:val="0"/>
          <w:sz w:val="25"/>
          <w:szCs w:val="25"/>
          <w:lang w:bidi="ar"/>
        </w:rPr>
      </w:pPr>
      <w:r>
        <w:rPr>
          <w:rFonts w:hint="eastAsia" w:ascii="宋体" w:hAnsi="宋体" w:cs="宋体"/>
          <w:color w:val="000000"/>
          <w:kern w:val="0"/>
          <w:sz w:val="25"/>
          <w:szCs w:val="25"/>
          <w:lang w:bidi="ar"/>
        </w:rPr>
        <w:t>（3）按评审办法规定的技术部分评审标准计算出得分C。</w:t>
      </w:r>
    </w:p>
    <w:p w14:paraId="64DB5DDD">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3.2.2 评分分值计算保留小数点后两位，小数点后第三位“四舍五入”。</w:t>
      </w:r>
    </w:p>
    <w:p w14:paraId="1A80AB8F">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3.2.3 响应人得分=A+B+C。</w:t>
      </w:r>
    </w:p>
    <w:p w14:paraId="51BD0FC1">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3.2.4 评审委员会发现响应人的报价明显低于其他响应报价，使得其响应报价可能低于其个别成本的，应当要求该响应人作出书面说明并提供相应的证明材料。响应人不能合理说明或者不能提供相应证明材料的，评审委员会应当认定该响应人以低于成本报价竞标，并否决其响应文件。</w:t>
      </w:r>
    </w:p>
    <w:p w14:paraId="6E4DC792">
      <w:pPr>
        <w:spacing w:line="480" w:lineRule="exact"/>
        <w:rPr>
          <w:rFonts w:ascii="宋体" w:hAnsi="宋体" w:cs="宋体"/>
          <w:b/>
          <w:bCs/>
          <w:color w:val="000000"/>
          <w:kern w:val="0"/>
          <w:sz w:val="25"/>
          <w:szCs w:val="25"/>
          <w:lang w:bidi="ar"/>
        </w:rPr>
      </w:pPr>
      <w:bookmarkStart w:id="17" w:name="_Toc3444037"/>
      <w:r>
        <w:rPr>
          <w:rFonts w:hint="eastAsia" w:ascii="宋体" w:hAnsi="宋体" w:cs="宋体"/>
          <w:b/>
          <w:bCs/>
          <w:color w:val="000000"/>
          <w:kern w:val="0"/>
          <w:sz w:val="25"/>
          <w:szCs w:val="25"/>
          <w:lang w:bidi="ar"/>
        </w:rPr>
        <w:t>3.3 响应文件的澄清</w:t>
      </w:r>
      <w:bookmarkEnd w:id="17"/>
    </w:p>
    <w:p w14:paraId="547C2147">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3.3.1 在评审过程中，评审委员会可以书面形式要求响应人对响应文件中含义不明确、对同类问题表述不一致或者有明显文字和计算错误的内容作必要的澄清、说明或补正。澄清、说明或补正应以书面方式进行。评审委员会不接受响应人主动提出的澄清、说明或补正。</w:t>
      </w:r>
    </w:p>
    <w:p w14:paraId="7E19B0E9">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3.3.2 澄清、说明或补正不得超出响应文件的范围且不得改变响应文件的实质性内容，并构成响应文件的组成部分。</w:t>
      </w:r>
    </w:p>
    <w:p w14:paraId="2C525343">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3.3.3 评审委员会对响应人提交的澄清、说明或补正有疑问的，可以要求响应人进一步澄清、说明或补正，直至满足评审委员会的要求。</w:t>
      </w:r>
    </w:p>
    <w:p w14:paraId="166F5DAB">
      <w:pPr>
        <w:spacing w:line="480" w:lineRule="exact"/>
        <w:rPr>
          <w:rFonts w:ascii="宋体" w:hAnsi="宋体" w:cs="宋体"/>
          <w:b/>
          <w:bCs/>
          <w:color w:val="000000"/>
          <w:kern w:val="0"/>
          <w:sz w:val="25"/>
          <w:szCs w:val="25"/>
          <w:lang w:bidi="ar"/>
        </w:rPr>
      </w:pPr>
      <w:bookmarkStart w:id="18" w:name="_Toc3444038"/>
      <w:r>
        <w:rPr>
          <w:rFonts w:hint="eastAsia" w:ascii="宋体" w:hAnsi="宋体" w:cs="宋体"/>
          <w:b/>
          <w:bCs/>
          <w:color w:val="000000"/>
          <w:kern w:val="0"/>
          <w:sz w:val="25"/>
          <w:szCs w:val="25"/>
          <w:lang w:bidi="ar"/>
        </w:rPr>
        <w:t>3.4 评审结果</w:t>
      </w:r>
      <w:bookmarkEnd w:id="18"/>
    </w:p>
    <w:p w14:paraId="0D862E91">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3.4.1 评审委员会按照得分由高到低的顺序推荐中选候选人。</w:t>
      </w:r>
    </w:p>
    <w:p w14:paraId="073B6C64">
      <w:pPr>
        <w:spacing w:line="480" w:lineRule="exact"/>
        <w:rPr>
          <w:rFonts w:ascii="宋体" w:hAnsi="宋体" w:cs="宋体"/>
          <w:color w:val="000000"/>
          <w:kern w:val="0"/>
          <w:sz w:val="25"/>
          <w:szCs w:val="25"/>
          <w:lang w:bidi="ar"/>
        </w:rPr>
      </w:pPr>
      <w:r>
        <w:rPr>
          <w:rFonts w:hint="eastAsia" w:ascii="宋体" w:hAnsi="宋体" w:cs="宋体"/>
          <w:color w:val="000000"/>
          <w:kern w:val="0"/>
          <w:sz w:val="25"/>
          <w:szCs w:val="25"/>
          <w:lang w:bidi="ar"/>
        </w:rPr>
        <w:t>3.4.2 评审委员会完成评审后，应当向询价人提交书面评审报告和中选候选人名单。</w:t>
      </w:r>
    </w:p>
    <w:p w14:paraId="0788BC09">
      <w:pPr>
        <w:pStyle w:val="2"/>
        <w:ind w:firstLine="640"/>
        <w:rPr>
          <w:rFonts w:ascii="仿宋" w:hAnsi="仿宋" w:eastAsia="仿宋" w:cs="仿宋"/>
          <w:color w:val="000000"/>
          <w:kern w:val="0"/>
          <w:sz w:val="32"/>
          <w:szCs w:val="32"/>
          <w:highlight w:val="green"/>
          <w:lang w:bidi="ar"/>
        </w:rPr>
      </w:pPr>
    </w:p>
    <w:p w14:paraId="7B1A57D7"/>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4ABE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20591BD">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320591BD">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60130B"/>
    <w:rsid w:val="0044309D"/>
    <w:rsid w:val="004536D8"/>
    <w:rsid w:val="006B6101"/>
    <w:rsid w:val="00750506"/>
    <w:rsid w:val="00986A34"/>
    <w:rsid w:val="009C0F8C"/>
    <w:rsid w:val="00B84F41"/>
    <w:rsid w:val="00C2156B"/>
    <w:rsid w:val="00D16FB0"/>
    <w:rsid w:val="00E65032"/>
    <w:rsid w:val="062F567C"/>
    <w:rsid w:val="089C2B44"/>
    <w:rsid w:val="0B6B480B"/>
    <w:rsid w:val="0C77492A"/>
    <w:rsid w:val="0CC63C13"/>
    <w:rsid w:val="18EC6753"/>
    <w:rsid w:val="1C921ACE"/>
    <w:rsid w:val="232252C6"/>
    <w:rsid w:val="2DAF77D3"/>
    <w:rsid w:val="2DEE05B5"/>
    <w:rsid w:val="2EBD10A3"/>
    <w:rsid w:val="34AD5538"/>
    <w:rsid w:val="371B0743"/>
    <w:rsid w:val="37DB7BC9"/>
    <w:rsid w:val="3A3372D0"/>
    <w:rsid w:val="3A566466"/>
    <w:rsid w:val="3C862009"/>
    <w:rsid w:val="3DBA67C4"/>
    <w:rsid w:val="3EF94B8E"/>
    <w:rsid w:val="3FA71BD6"/>
    <w:rsid w:val="46201F5F"/>
    <w:rsid w:val="480B0E8C"/>
    <w:rsid w:val="4960130B"/>
    <w:rsid w:val="49B94DA2"/>
    <w:rsid w:val="57C204E8"/>
    <w:rsid w:val="5B9018D7"/>
    <w:rsid w:val="608B6E0E"/>
    <w:rsid w:val="617734A3"/>
    <w:rsid w:val="64BE57F8"/>
    <w:rsid w:val="70F27F0A"/>
    <w:rsid w:val="712A1FD7"/>
    <w:rsid w:val="72B4048D"/>
    <w:rsid w:val="74032167"/>
    <w:rsid w:val="7BDEE3A7"/>
    <w:rsid w:val="7FCA2604"/>
    <w:rsid w:val="96F776DA"/>
    <w:rsid w:val="D9FEAC01"/>
    <w:rsid w:val="F7FFB6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正文（缩进）"/>
    <w:qFormat/>
    <w:uiPriority w:val="0"/>
    <w:pPr>
      <w:widowControl w:val="0"/>
      <w:spacing w:before="50" w:after="50"/>
      <w:ind w:firstLine="200" w:firstLineChars="200"/>
      <w:jc w:val="both"/>
    </w:pPr>
    <w:rPr>
      <w:rFonts w:ascii="Calibri" w:hAnsi="Calibri" w:eastAsia="宋体" w:cs="Times New Roman"/>
      <w:kern w:val="28"/>
      <w:sz w:val="28"/>
      <w:szCs w:val="22"/>
      <w:lang w:val="en-US" w:eastAsia="zh-CN" w:bidi="ar-SA"/>
    </w:r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100" w:beforeAutospacing="1" w:after="100" w:afterAutospacing="1"/>
      <w:jc w:val="left"/>
    </w:pPr>
    <w:rPr>
      <w:kern w:val="0"/>
      <w:sz w:val="24"/>
    </w:rPr>
  </w:style>
  <w:style w:type="paragraph" w:customStyle="1" w:styleId="8">
    <w:name w:val="Table Paragraph"/>
    <w:basedOn w:val="1"/>
    <w:qFormat/>
    <w:uiPriority w:val="0"/>
    <w:pPr>
      <w:jc w:val="left"/>
    </w:pPr>
    <w:rPr>
      <w:kern w:val="0"/>
      <w:sz w:val="22"/>
      <w:szCs w:val="22"/>
      <w:lang w:eastAsia="en-US"/>
    </w:rPr>
  </w:style>
  <w:style w:type="character" w:customStyle="1" w:styleId="9">
    <w:name w:val="页眉 字符"/>
    <w:basedOn w:val="7"/>
    <w:link w:val="4"/>
    <w:qFormat/>
    <w:uiPriority w:val="0"/>
    <w:rPr>
      <w:rFonts w:ascii="Calibri" w:hAnsi="Calibri"/>
      <w:kern w:val="2"/>
      <w:sz w:val="18"/>
      <w:szCs w:val="18"/>
    </w:rPr>
  </w:style>
  <w:style w:type="character" w:customStyle="1" w:styleId="10">
    <w:name w:val="页脚 字符"/>
    <w:basedOn w:val="7"/>
    <w:link w:val="3"/>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2277</Words>
  <Characters>2426</Characters>
  <Lines>18</Lines>
  <Paragraphs>5</Paragraphs>
  <TotalTime>0</TotalTime>
  <ScaleCrop>false</ScaleCrop>
  <LinksUpToDate>false</LinksUpToDate>
  <CharactersWithSpaces>2453</CharactersWithSpaces>
  <Application>WPS Office_12.1.2.24722_F1E327BC-269C-435d-A152-05C5408002CA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2024-12-27T09:27:00Z</dcterms:created>
  <dc:creator>lenovo</dc:creator>
  <cp:lastModifiedBy>GreatWall</cp:lastModifiedBy>
  <cp:lastPrinted>2026-05-13T06:28:00Z</cp:lastPrinted>
  <dcterms:modified xsi:type="dcterms:W3CDTF">2026-05-19T14:19:29Z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2052-12.1.2.24722</vt:lpwstr>
  </property>
  <property fmtid="{D5CDD505-2E9C-101B-9397-08002B2CF9AE}" pid="3" name="ICV">
    <vt:lpwstr>6DF79B76D0A34BB49B725F65B39A2F90_13</vt:lpwstr>
  </property>
  <property fmtid="{D5CDD505-2E9C-101B-9397-08002B2CF9AE}" pid="4" name="KSOTemplateDocerSaveRecord">
    <vt:lpwstr>eyJoZGlkIjoiN2Y3OTA0OWYzNGZhNjBhN2FkYmJiNjYxMTYwNTM1OTEiLCJ1c2VySWQiOiIxNTQ4NDA2NzY2In0=</vt:lpwstr>
  </property>
</Properties>
</file>