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E1559">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360" w:lineRule="auto"/>
        <w:ind w:left="0" w:firstLine="0" w:firstLineChars="0"/>
        <w:jc w:val="both"/>
        <w:textAlignment w:val="auto"/>
        <w:rPr>
          <w:rFonts w:hint="eastAsia" w:ascii="宋体" w:hAnsi="宋体" w:eastAsia="宋体" w:cs="宋体"/>
          <w:b/>
          <w:bCs/>
          <w:i w:val="0"/>
          <w:iCs w:val="0"/>
          <w:caps w:val="0"/>
          <w:color w:val="000000"/>
          <w:spacing w:val="0"/>
          <w:sz w:val="32"/>
          <w:szCs w:val="32"/>
          <w:highlight w:val="none"/>
          <w:shd w:val="clear" w:color="auto" w:fill="auto"/>
          <w:lang w:val="en-US" w:eastAsia="zh-CN"/>
        </w:rPr>
      </w:pPr>
      <w:r>
        <w:rPr>
          <w:rFonts w:hint="eastAsia" w:ascii="宋体" w:hAnsi="宋体" w:eastAsia="宋体" w:cs="宋体"/>
          <w:b/>
          <w:bCs/>
          <w:i w:val="0"/>
          <w:iCs w:val="0"/>
          <w:caps w:val="0"/>
          <w:color w:val="000000"/>
          <w:spacing w:val="0"/>
          <w:sz w:val="32"/>
          <w:szCs w:val="32"/>
          <w:highlight w:val="none"/>
          <w:shd w:val="clear" w:color="auto" w:fill="auto"/>
          <w:lang w:val="en-US" w:eastAsia="zh-CN"/>
        </w:rPr>
        <w:t>附件2：评审办法</w:t>
      </w:r>
    </w:p>
    <w:p w14:paraId="3AF968D7">
      <w:pPr>
        <w:pStyle w:val="3"/>
        <w:keepNext w:val="0"/>
        <w:keepLines w:val="0"/>
        <w:pageBreakBefore w:val="0"/>
        <w:widowControl/>
        <w:suppressLineNumbers w:val="0"/>
        <w:shd w:val="clear" w:color="auto" w:fill="FFFFFF"/>
        <w:kinsoku/>
        <w:wordWrap/>
        <w:overflowPunct/>
        <w:topLinePunct w:val="0"/>
        <w:autoSpaceDE/>
        <w:autoSpaceDN/>
        <w:bidi w:val="0"/>
        <w:spacing w:beforeAutospacing="0" w:afterAutospacing="0" w:line="360" w:lineRule="auto"/>
        <w:ind w:left="0" w:firstLine="640" w:firstLineChars="200"/>
        <w:jc w:val="both"/>
        <w:textAlignment w:val="auto"/>
        <w:rPr>
          <w:rFonts w:hint="default" w:ascii="仿宋" w:hAnsi="仿宋" w:eastAsia="仿宋" w:cs="仿宋"/>
          <w:i w:val="0"/>
          <w:iCs w:val="0"/>
          <w:caps w:val="0"/>
          <w:color w:val="000000"/>
          <w:spacing w:val="0"/>
          <w:sz w:val="32"/>
          <w:szCs w:val="32"/>
          <w:highlight w:val="none"/>
          <w:shd w:val="clear" w:color="auto" w:fill="auto"/>
          <w:lang w:val="en-US" w:eastAsia="zh-CN"/>
        </w:rPr>
      </w:pPr>
      <w:r>
        <w:rPr>
          <w:rFonts w:hint="default" w:ascii="仿宋" w:hAnsi="仿宋" w:eastAsia="仿宋" w:cs="仿宋"/>
          <w:i w:val="0"/>
          <w:iCs w:val="0"/>
          <w:caps w:val="0"/>
          <w:color w:val="000000"/>
          <w:spacing w:val="0"/>
          <w:sz w:val="32"/>
          <w:szCs w:val="32"/>
          <w:highlight w:val="none"/>
          <w:shd w:val="clear" w:color="auto" w:fill="auto"/>
          <w:lang w:val="en-US" w:eastAsia="zh-CN"/>
        </w:rPr>
        <w:t>评审办法前附表</w:t>
      </w:r>
    </w:p>
    <w:tbl>
      <w:tblPr>
        <w:tblStyle w:val="4"/>
        <w:tblW w:w="905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7"/>
        <w:gridCol w:w="1049"/>
        <w:gridCol w:w="1275"/>
        <w:gridCol w:w="8"/>
        <w:gridCol w:w="5939"/>
      </w:tblGrid>
      <w:tr w14:paraId="0B70E2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836" w:type="dxa"/>
            <w:gridSpan w:val="2"/>
            <w:tcBorders>
              <w:top w:val="single" w:color="auto" w:sz="4" w:space="0"/>
              <w:bottom w:val="single" w:color="auto" w:sz="4" w:space="0"/>
              <w:right w:val="single" w:color="auto" w:sz="4" w:space="0"/>
            </w:tcBorders>
            <w:noWrap w:val="0"/>
            <w:vAlign w:val="center"/>
          </w:tcPr>
          <w:p w14:paraId="581A2553">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bCs/>
                <w:szCs w:val="21"/>
                <w:highlight w:val="none"/>
              </w:rPr>
            </w:pPr>
            <w:r>
              <w:rPr>
                <w:rFonts w:hint="eastAsia" w:ascii="宋体" w:hAnsi="宋体" w:cs="宋体"/>
                <w:b/>
                <w:bCs/>
                <w:szCs w:val="21"/>
                <w:highlight w:val="none"/>
              </w:rPr>
              <w:t>条款号</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7C83772">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bCs/>
                <w:szCs w:val="21"/>
                <w:highlight w:val="none"/>
              </w:rPr>
            </w:pPr>
            <w:r>
              <w:rPr>
                <w:rFonts w:hint="eastAsia" w:ascii="宋体" w:hAnsi="宋体" w:cs="宋体"/>
                <w:b/>
                <w:bCs/>
                <w:szCs w:val="21"/>
                <w:highlight w:val="none"/>
              </w:rPr>
              <w:t>评审因素</w:t>
            </w:r>
          </w:p>
        </w:tc>
        <w:tc>
          <w:tcPr>
            <w:tcW w:w="5947" w:type="dxa"/>
            <w:gridSpan w:val="2"/>
            <w:tcBorders>
              <w:top w:val="single" w:color="auto" w:sz="4" w:space="0"/>
              <w:left w:val="single" w:color="auto" w:sz="4" w:space="0"/>
              <w:bottom w:val="single" w:color="auto" w:sz="4" w:space="0"/>
            </w:tcBorders>
            <w:noWrap w:val="0"/>
            <w:vAlign w:val="center"/>
          </w:tcPr>
          <w:p w14:paraId="6128D7E6">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bCs/>
                <w:szCs w:val="21"/>
                <w:highlight w:val="none"/>
              </w:rPr>
            </w:pPr>
            <w:r>
              <w:rPr>
                <w:rFonts w:hint="eastAsia" w:ascii="宋体" w:hAnsi="宋体" w:cs="宋体"/>
                <w:b/>
                <w:bCs/>
                <w:szCs w:val="21"/>
                <w:highlight w:val="none"/>
              </w:rPr>
              <w:t>评审标准</w:t>
            </w:r>
          </w:p>
        </w:tc>
      </w:tr>
      <w:tr w14:paraId="76B7A9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69" w:hRule="atLeast"/>
          <w:jc w:val="center"/>
        </w:trPr>
        <w:tc>
          <w:tcPr>
            <w:tcW w:w="787" w:type="dxa"/>
            <w:tcBorders>
              <w:top w:val="single" w:color="auto" w:sz="4" w:space="0"/>
              <w:bottom w:val="single" w:color="auto" w:sz="4" w:space="0"/>
              <w:right w:val="single" w:color="auto" w:sz="4" w:space="0"/>
            </w:tcBorders>
            <w:noWrap w:val="0"/>
            <w:vAlign w:val="center"/>
          </w:tcPr>
          <w:p w14:paraId="4B186EAE">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1</w:t>
            </w:r>
          </w:p>
        </w:tc>
        <w:tc>
          <w:tcPr>
            <w:tcW w:w="1049" w:type="dxa"/>
            <w:tcBorders>
              <w:top w:val="single" w:color="auto" w:sz="4" w:space="0"/>
              <w:bottom w:val="single" w:color="auto" w:sz="4" w:space="0"/>
              <w:right w:val="single" w:color="auto" w:sz="4" w:space="0"/>
            </w:tcBorders>
            <w:noWrap w:val="0"/>
            <w:vAlign w:val="center"/>
          </w:tcPr>
          <w:p w14:paraId="21E83213">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评审方法</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052428D">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中选候选人排序方法</w:t>
            </w:r>
          </w:p>
        </w:tc>
        <w:tc>
          <w:tcPr>
            <w:tcW w:w="5947" w:type="dxa"/>
            <w:gridSpan w:val="2"/>
            <w:tcBorders>
              <w:top w:val="single" w:color="auto" w:sz="4" w:space="0"/>
              <w:left w:val="single" w:color="auto" w:sz="4" w:space="0"/>
              <w:bottom w:val="single" w:color="auto" w:sz="4" w:space="0"/>
            </w:tcBorders>
            <w:noWrap w:val="0"/>
            <w:vAlign w:val="center"/>
          </w:tcPr>
          <w:p w14:paraId="69667E14">
            <w:pPr>
              <w:keepNext w:val="0"/>
              <w:keepLines w:val="0"/>
              <w:pageBreakBefore w:val="0"/>
              <w:kinsoku/>
              <w:overflowPunct/>
              <w:topLinePunct w:val="0"/>
              <w:autoSpaceDE/>
              <w:autoSpaceDN/>
              <w:bidi w:val="0"/>
              <w:adjustRightInd w:val="0"/>
              <w:snapToGrid w:val="0"/>
              <w:spacing w:line="240" w:lineRule="auto"/>
              <w:textAlignment w:val="baseline"/>
              <w:outlineLvl w:val="0"/>
              <w:rPr>
                <w:rFonts w:hint="eastAsia" w:ascii="宋体" w:hAnsi="宋体" w:cs="宋体"/>
                <w:b/>
                <w:szCs w:val="21"/>
                <w:highlight w:val="none"/>
              </w:rPr>
            </w:pPr>
            <w:r>
              <w:rPr>
                <w:rFonts w:hint="eastAsia" w:ascii="宋体" w:hAnsi="宋体" w:cs="宋体"/>
                <w:b w:val="0"/>
                <w:bCs/>
                <w:szCs w:val="21"/>
                <w:highlight w:val="none"/>
              </w:rPr>
              <w:t>按得分由高到低顺序推荐中选候选人，并标明排序；综合评分相等时，以</w:t>
            </w:r>
            <w:r>
              <w:rPr>
                <w:rFonts w:hint="eastAsia" w:ascii="宋体" w:hAnsi="宋体" w:cs="宋体"/>
                <w:b w:val="0"/>
                <w:bCs/>
                <w:szCs w:val="21"/>
                <w:highlight w:val="none"/>
                <w:lang w:eastAsia="zh-CN"/>
              </w:rPr>
              <w:t>询价</w:t>
            </w:r>
            <w:r>
              <w:rPr>
                <w:rFonts w:hint="eastAsia" w:ascii="宋体" w:hAnsi="宋体" w:cs="宋体"/>
                <w:b w:val="0"/>
                <w:bCs/>
                <w:szCs w:val="21"/>
                <w:highlight w:val="none"/>
              </w:rPr>
              <w:t>报价低的优先；如果</w:t>
            </w:r>
            <w:r>
              <w:rPr>
                <w:rFonts w:hint="eastAsia" w:ascii="宋体" w:hAnsi="宋体" w:cs="宋体"/>
                <w:b w:val="0"/>
                <w:bCs/>
                <w:szCs w:val="21"/>
                <w:highlight w:val="none"/>
                <w:lang w:eastAsia="zh-CN"/>
              </w:rPr>
              <w:t>询价</w:t>
            </w:r>
            <w:r>
              <w:rPr>
                <w:rFonts w:hint="eastAsia" w:ascii="宋体" w:hAnsi="宋体" w:cs="宋体"/>
                <w:b w:val="0"/>
                <w:bCs/>
                <w:szCs w:val="21"/>
                <w:highlight w:val="none"/>
              </w:rPr>
              <w:t>报价相同时，以技术服务方案评分标准得分高的优先；如果技术服务方案评分标准得分也相等，由评审委员会投票确定。</w:t>
            </w:r>
          </w:p>
        </w:tc>
      </w:tr>
      <w:tr w14:paraId="051D86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87" w:type="dxa"/>
            <w:vMerge w:val="restart"/>
            <w:tcBorders>
              <w:top w:val="single" w:color="auto" w:sz="4" w:space="0"/>
              <w:bottom w:val="single" w:color="auto" w:sz="4" w:space="0"/>
              <w:right w:val="single" w:color="auto" w:sz="4" w:space="0"/>
            </w:tcBorders>
            <w:noWrap w:val="0"/>
            <w:vAlign w:val="center"/>
          </w:tcPr>
          <w:p w14:paraId="77BA86EC">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2.1.1</w:t>
            </w:r>
          </w:p>
        </w:tc>
        <w:tc>
          <w:tcPr>
            <w:tcW w:w="1049" w:type="dxa"/>
            <w:vMerge w:val="restart"/>
            <w:tcBorders>
              <w:top w:val="single" w:color="auto" w:sz="4" w:space="0"/>
              <w:bottom w:val="single" w:color="auto" w:sz="4" w:space="0"/>
              <w:right w:val="single" w:color="auto" w:sz="4" w:space="0"/>
            </w:tcBorders>
            <w:noWrap w:val="0"/>
            <w:vAlign w:val="center"/>
          </w:tcPr>
          <w:p w14:paraId="6161B559">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形式评审标准</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A54A859">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lang w:eastAsia="zh-CN"/>
              </w:rPr>
              <w:t>询价</w:t>
            </w:r>
            <w:r>
              <w:rPr>
                <w:rFonts w:hint="eastAsia" w:ascii="宋体" w:hAnsi="宋体" w:cs="宋体"/>
                <w:szCs w:val="21"/>
                <w:highlight w:val="none"/>
              </w:rPr>
              <w:t>申请人名称</w:t>
            </w:r>
          </w:p>
        </w:tc>
        <w:tc>
          <w:tcPr>
            <w:tcW w:w="5947" w:type="dxa"/>
            <w:gridSpan w:val="2"/>
            <w:tcBorders>
              <w:top w:val="single" w:color="auto" w:sz="4" w:space="0"/>
              <w:left w:val="single" w:color="auto" w:sz="4" w:space="0"/>
              <w:bottom w:val="single" w:color="auto" w:sz="4" w:space="0"/>
            </w:tcBorders>
            <w:noWrap w:val="0"/>
            <w:vAlign w:val="center"/>
          </w:tcPr>
          <w:p w14:paraId="600FB6F3">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r>
              <w:rPr>
                <w:rFonts w:hint="eastAsia" w:ascii="宋体" w:hAnsi="宋体" w:cs="宋体"/>
                <w:szCs w:val="21"/>
                <w:highlight w:val="none"/>
              </w:rPr>
              <w:t>与营业执照一致。</w:t>
            </w:r>
          </w:p>
        </w:tc>
      </w:tr>
      <w:tr w14:paraId="533038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4" w:hRule="atLeast"/>
          <w:jc w:val="center"/>
        </w:trPr>
        <w:tc>
          <w:tcPr>
            <w:tcW w:w="787" w:type="dxa"/>
            <w:vMerge w:val="continue"/>
            <w:tcBorders>
              <w:top w:val="nil"/>
              <w:bottom w:val="single" w:color="auto" w:sz="4" w:space="0"/>
              <w:right w:val="single" w:color="auto" w:sz="4" w:space="0"/>
            </w:tcBorders>
            <w:noWrap w:val="0"/>
            <w:vAlign w:val="center"/>
          </w:tcPr>
          <w:p w14:paraId="15342EAE">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049" w:type="dxa"/>
            <w:vMerge w:val="continue"/>
            <w:tcBorders>
              <w:top w:val="nil"/>
              <w:bottom w:val="single" w:color="auto" w:sz="4" w:space="0"/>
              <w:right w:val="single" w:color="auto" w:sz="4" w:space="0"/>
            </w:tcBorders>
            <w:noWrap w:val="0"/>
            <w:vAlign w:val="center"/>
          </w:tcPr>
          <w:p w14:paraId="03649306">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DDCFD85">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lang w:eastAsia="zh-CN"/>
              </w:rPr>
              <w:t>询价</w:t>
            </w:r>
            <w:r>
              <w:rPr>
                <w:rFonts w:hint="eastAsia" w:ascii="宋体" w:hAnsi="宋体" w:cs="宋体"/>
                <w:szCs w:val="21"/>
                <w:highlight w:val="none"/>
              </w:rPr>
              <w:t>申请函及</w:t>
            </w:r>
            <w:r>
              <w:rPr>
                <w:rFonts w:hint="eastAsia" w:ascii="宋体" w:hAnsi="宋体" w:cs="宋体"/>
                <w:szCs w:val="21"/>
                <w:highlight w:val="none"/>
                <w:lang w:eastAsia="zh-CN"/>
              </w:rPr>
              <w:t>询价</w:t>
            </w:r>
            <w:r>
              <w:rPr>
                <w:rFonts w:hint="eastAsia" w:ascii="宋体" w:hAnsi="宋体" w:cs="宋体"/>
                <w:szCs w:val="21"/>
                <w:highlight w:val="none"/>
              </w:rPr>
              <w:t>申请函附录签字盖章</w:t>
            </w:r>
          </w:p>
        </w:tc>
        <w:tc>
          <w:tcPr>
            <w:tcW w:w="5947" w:type="dxa"/>
            <w:gridSpan w:val="2"/>
            <w:tcBorders>
              <w:top w:val="single" w:color="auto" w:sz="4" w:space="0"/>
              <w:left w:val="single" w:color="auto" w:sz="4" w:space="0"/>
              <w:bottom w:val="single" w:color="auto" w:sz="4" w:space="0"/>
            </w:tcBorders>
            <w:noWrap w:val="0"/>
            <w:vAlign w:val="center"/>
          </w:tcPr>
          <w:p w14:paraId="78E9C3AF">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r>
              <w:rPr>
                <w:rFonts w:hint="eastAsia" w:ascii="宋体" w:hAnsi="宋体" w:cs="宋体"/>
                <w:szCs w:val="21"/>
                <w:highlight w:val="none"/>
              </w:rPr>
              <w:t>有法定代表人或其委托代理人签字或加</w:t>
            </w:r>
            <w:r>
              <w:rPr>
                <w:rFonts w:hint="eastAsia" w:ascii="宋体" w:hAnsi="宋体" w:cs="宋体"/>
                <w:color w:val="auto"/>
                <w:szCs w:val="21"/>
                <w:highlight w:val="none"/>
              </w:rPr>
              <w:t>盖单位公章</w:t>
            </w:r>
            <w:r>
              <w:rPr>
                <w:rFonts w:hint="eastAsia" w:ascii="宋体" w:hAnsi="宋体" w:cs="宋体"/>
                <w:szCs w:val="21"/>
                <w:highlight w:val="none"/>
              </w:rPr>
              <w:t>。由法定代表人签字的，应附法定代表人身份证明，由代理人签字的，应附授权委托书，身份证明或授权委托书应符合“</w:t>
            </w:r>
            <w:r>
              <w:rPr>
                <w:rFonts w:hint="eastAsia" w:ascii="宋体" w:hAnsi="宋体" w:cs="宋体"/>
                <w:szCs w:val="21"/>
                <w:highlight w:val="none"/>
                <w:lang w:eastAsia="zh-CN"/>
              </w:rPr>
              <w:t>询价</w:t>
            </w:r>
            <w:r>
              <w:rPr>
                <w:rFonts w:hint="eastAsia" w:ascii="宋体" w:hAnsi="宋体" w:cs="宋体"/>
                <w:szCs w:val="21"/>
                <w:highlight w:val="none"/>
              </w:rPr>
              <w:t>申请书格式”的规定。</w:t>
            </w:r>
          </w:p>
        </w:tc>
      </w:tr>
      <w:tr w14:paraId="39DE12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87" w:type="dxa"/>
            <w:vMerge w:val="continue"/>
            <w:tcBorders>
              <w:top w:val="nil"/>
              <w:bottom w:val="single" w:color="auto" w:sz="4" w:space="0"/>
              <w:right w:val="single" w:color="auto" w:sz="4" w:space="0"/>
            </w:tcBorders>
            <w:noWrap w:val="0"/>
            <w:vAlign w:val="center"/>
          </w:tcPr>
          <w:p w14:paraId="080078EE">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049" w:type="dxa"/>
            <w:vMerge w:val="continue"/>
            <w:tcBorders>
              <w:top w:val="nil"/>
              <w:bottom w:val="single" w:color="auto" w:sz="4" w:space="0"/>
              <w:right w:val="single" w:color="auto" w:sz="4" w:space="0"/>
            </w:tcBorders>
            <w:noWrap w:val="0"/>
            <w:vAlign w:val="center"/>
          </w:tcPr>
          <w:p w14:paraId="10C679E6">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6B9ED91">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lang w:eastAsia="zh-CN"/>
              </w:rPr>
              <w:t>询价</w:t>
            </w:r>
            <w:r>
              <w:rPr>
                <w:rFonts w:hint="eastAsia" w:ascii="宋体" w:hAnsi="宋体" w:cs="宋体"/>
                <w:szCs w:val="21"/>
                <w:highlight w:val="none"/>
              </w:rPr>
              <w:t>申请书格式</w:t>
            </w:r>
          </w:p>
        </w:tc>
        <w:tc>
          <w:tcPr>
            <w:tcW w:w="5947" w:type="dxa"/>
            <w:gridSpan w:val="2"/>
            <w:tcBorders>
              <w:top w:val="single" w:color="auto" w:sz="4" w:space="0"/>
              <w:left w:val="single" w:color="auto" w:sz="4" w:space="0"/>
              <w:bottom w:val="single" w:color="auto" w:sz="4" w:space="0"/>
            </w:tcBorders>
            <w:noWrap w:val="0"/>
            <w:vAlign w:val="center"/>
          </w:tcPr>
          <w:p w14:paraId="05DB1ADD">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r>
              <w:rPr>
                <w:rFonts w:hint="eastAsia" w:ascii="宋体" w:hAnsi="宋体" w:cs="宋体"/>
                <w:szCs w:val="21"/>
                <w:highlight w:val="none"/>
              </w:rPr>
              <w:t>符合“</w:t>
            </w:r>
            <w:r>
              <w:rPr>
                <w:rFonts w:hint="eastAsia" w:ascii="宋体" w:hAnsi="宋体" w:cs="宋体"/>
                <w:szCs w:val="21"/>
                <w:highlight w:val="none"/>
                <w:lang w:val="en-US" w:eastAsia="zh-CN"/>
              </w:rPr>
              <w:t>询价申请文件</w:t>
            </w:r>
            <w:r>
              <w:rPr>
                <w:rFonts w:hint="eastAsia" w:ascii="宋体" w:hAnsi="宋体" w:cs="宋体"/>
                <w:szCs w:val="21"/>
                <w:highlight w:val="none"/>
              </w:rPr>
              <w:t>格式”的要求。</w:t>
            </w:r>
          </w:p>
        </w:tc>
      </w:tr>
      <w:tr w14:paraId="384E9B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87" w:type="dxa"/>
            <w:vMerge w:val="continue"/>
            <w:tcBorders>
              <w:top w:val="nil"/>
              <w:bottom w:val="single" w:color="auto" w:sz="4" w:space="0"/>
              <w:right w:val="single" w:color="auto" w:sz="4" w:space="0"/>
            </w:tcBorders>
            <w:noWrap w:val="0"/>
            <w:vAlign w:val="center"/>
          </w:tcPr>
          <w:p w14:paraId="38D2095A">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049" w:type="dxa"/>
            <w:vMerge w:val="continue"/>
            <w:tcBorders>
              <w:top w:val="nil"/>
              <w:bottom w:val="single" w:color="auto" w:sz="4" w:space="0"/>
              <w:right w:val="single" w:color="auto" w:sz="4" w:space="0"/>
            </w:tcBorders>
            <w:noWrap w:val="0"/>
            <w:vAlign w:val="center"/>
          </w:tcPr>
          <w:p w14:paraId="62211219">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71F8AEB">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备选</w:t>
            </w:r>
            <w:r>
              <w:rPr>
                <w:rFonts w:hint="eastAsia" w:ascii="宋体" w:hAnsi="宋体" w:cs="宋体"/>
                <w:szCs w:val="21"/>
                <w:highlight w:val="none"/>
                <w:lang w:eastAsia="zh-CN"/>
              </w:rPr>
              <w:t>询价</w:t>
            </w:r>
            <w:r>
              <w:rPr>
                <w:rFonts w:hint="eastAsia" w:ascii="宋体" w:hAnsi="宋体" w:cs="宋体"/>
                <w:szCs w:val="21"/>
                <w:highlight w:val="none"/>
              </w:rPr>
              <w:t>申请方案</w:t>
            </w:r>
          </w:p>
        </w:tc>
        <w:tc>
          <w:tcPr>
            <w:tcW w:w="5947" w:type="dxa"/>
            <w:gridSpan w:val="2"/>
            <w:tcBorders>
              <w:top w:val="single" w:color="auto" w:sz="4" w:space="0"/>
              <w:left w:val="single" w:color="auto" w:sz="4" w:space="0"/>
              <w:bottom w:val="single" w:color="auto" w:sz="4" w:space="0"/>
            </w:tcBorders>
            <w:noWrap w:val="0"/>
            <w:vAlign w:val="center"/>
          </w:tcPr>
          <w:p w14:paraId="67F00C35">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r>
              <w:rPr>
                <w:rFonts w:hint="eastAsia" w:ascii="宋体" w:hAnsi="宋体" w:cs="宋体"/>
                <w:szCs w:val="21"/>
                <w:highlight w:val="none"/>
              </w:rPr>
              <w:t>除</w:t>
            </w:r>
            <w:r>
              <w:rPr>
                <w:rFonts w:hint="eastAsia" w:ascii="宋体" w:hAnsi="宋体" w:cs="宋体"/>
                <w:szCs w:val="21"/>
                <w:highlight w:val="none"/>
                <w:lang w:eastAsia="zh-CN"/>
              </w:rPr>
              <w:t>询价</w:t>
            </w:r>
            <w:r>
              <w:rPr>
                <w:rFonts w:hint="eastAsia" w:ascii="宋体" w:hAnsi="宋体" w:cs="宋体"/>
                <w:szCs w:val="21"/>
                <w:highlight w:val="none"/>
              </w:rPr>
              <w:t>文件明确允许提交备选</w:t>
            </w:r>
            <w:r>
              <w:rPr>
                <w:rFonts w:hint="eastAsia" w:ascii="宋体" w:hAnsi="宋体" w:cs="宋体"/>
                <w:szCs w:val="21"/>
                <w:highlight w:val="none"/>
                <w:lang w:eastAsia="zh-CN"/>
              </w:rPr>
              <w:t>询价</w:t>
            </w:r>
            <w:r>
              <w:rPr>
                <w:rFonts w:hint="eastAsia" w:ascii="宋体" w:hAnsi="宋体" w:cs="宋体"/>
                <w:szCs w:val="21"/>
                <w:highlight w:val="none"/>
              </w:rPr>
              <w:t>申请方案外，</w:t>
            </w:r>
            <w:r>
              <w:rPr>
                <w:rFonts w:hint="eastAsia" w:ascii="宋体" w:hAnsi="宋体" w:cs="宋体"/>
                <w:szCs w:val="21"/>
                <w:highlight w:val="none"/>
                <w:lang w:eastAsia="zh-CN"/>
              </w:rPr>
              <w:t>询价</w:t>
            </w:r>
            <w:r>
              <w:rPr>
                <w:rFonts w:hint="eastAsia" w:ascii="宋体" w:hAnsi="宋体" w:cs="宋体"/>
                <w:szCs w:val="21"/>
                <w:highlight w:val="none"/>
              </w:rPr>
              <w:t>申请人不得提交备选</w:t>
            </w:r>
            <w:r>
              <w:rPr>
                <w:rFonts w:hint="eastAsia" w:ascii="宋体" w:hAnsi="宋体" w:cs="宋体"/>
                <w:szCs w:val="21"/>
                <w:highlight w:val="none"/>
                <w:lang w:eastAsia="zh-CN"/>
              </w:rPr>
              <w:t>询价</w:t>
            </w:r>
            <w:r>
              <w:rPr>
                <w:rFonts w:hint="eastAsia" w:ascii="宋体" w:hAnsi="宋体" w:cs="宋体"/>
                <w:szCs w:val="21"/>
                <w:highlight w:val="none"/>
              </w:rPr>
              <w:t>申请方案。</w:t>
            </w:r>
          </w:p>
        </w:tc>
      </w:tr>
      <w:tr w14:paraId="18FB87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787" w:type="dxa"/>
            <w:vMerge w:val="continue"/>
            <w:tcBorders>
              <w:top w:val="nil"/>
              <w:bottom w:val="single" w:color="auto" w:sz="4" w:space="0"/>
              <w:right w:val="single" w:color="auto" w:sz="4" w:space="0"/>
            </w:tcBorders>
            <w:noWrap w:val="0"/>
            <w:vAlign w:val="center"/>
          </w:tcPr>
          <w:p w14:paraId="147F26A8">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049" w:type="dxa"/>
            <w:vMerge w:val="continue"/>
            <w:tcBorders>
              <w:top w:val="nil"/>
              <w:bottom w:val="single" w:color="auto" w:sz="4" w:space="0"/>
              <w:right w:val="single" w:color="auto" w:sz="4" w:space="0"/>
            </w:tcBorders>
            <w:noWrap w:val="0"/>
            <w:vAlign w:val="center"/>
          </w:tcPr>
          <w:p w14:paraId="50C25966">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p>
        </w:tc>
        <w:tc>
          <w:tcPr>
            <w:tcW w:w="1275" w:type="dxa"/>
            <w:tcBorders>
              <w:top w:val="single" w:color="auto" w:sz="4" w:space="0"/>
              <w:left w:val="single" w:color="auto" w:sz="4" w:space="0"/>
              <w:right w:val="single" w:color="auto" w:sz="4" w:space="0"/>
            </w:tcBorders>
            <w:noWrap w:val="0"/>
            <w:vAlign w:val="center"/>
          </w:tcPr>
          <w:p w14:paraId="5C21DE49">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报价唯一</w:t>
            </w:r>
          </w:p>
        </w:tc>
        <w:tc>
          <w:tcPr>
            <w:tcW w:w="5947" w:type="dxa"/>
            <w:gridSpan w:val="2"/>
            <w:tcBorders>
              <w:top w:val="single" w:color="auto" w:sz="4" w:space="0"/>
              <w:left w:val="single" w:color="auto" w:sz="4" w:space="0"/>
            </w:tcBorders>
            <w:noWrap w:val="0"/>
            <w:vAlign w:val="center"/>
          </w:tcPr>
          <w:p w14:paraId="1DD9C37B">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r>
              <w:rPr>
                <w:rFonts w:hint="eastAsia" w:ascii="宋体" w:hAnsi="宋体" w:cs="宋体"/>
                <w:szCs w:val="21"/>
                <w:highlight w:val="none"/>
              </w:rPr>
              <w:t>只能有一个有效报价。</w:t>
            </w:r>
          </w:p>
        </w:tc>
      </w:tr>
      <w:tr w14:paraId="5254AE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787" w:type="dxa"/>
            <w:tcBorders>
              <w:top w:val="single" w:color="auto" w:sz="4" w:space="0"/>
              <w:right w:val="single" w:color="auto" w:sz="4" w:space="0"/>
            </w:tcBorders>
            <w:noWrap w:val="0"/>
            <w:vAlign w:val="center"/>
          </w:tcPr>
          <w:p w14:paraId="72C3CD40">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2.1.2</w:t>
            </w:r>
          </w:p>
        </w:tc>
        <w:tc>
          <w:tcPr>
            <w:tcW w:w="1049" w:type="dxa"/>
            <w:tcBorders>
              <w:top w:val="single" w:color="auto" w:sz="4" w:space="0"/>
              <w:right w:val="single" w:color="auto" w:sz="4" w:space="0"/>
            </w:tcBorders>
            <w:noWrap w:val="0"/>
            <w:vAlign w:val="center"/>
          </w:tcPr>
          <w:p w14:paraId="60AF5AD5">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资格评审标准</w:t>
            </w:r>
          </w:p>
        </w:tc>
        <w:tc>
          <w:tcPr>
            <w:tcW w:w="7222" w:type="dxa"/>
            <w:gridSpan w:val="3"/>
            <w:tcBorders>
              <w:top w:val="single" w:color="auto" w:sz="4" w:space="0"/>
              <w:left w:val="single" w:color="auto" w:sz="4" w:space="0"/>
            </w:tcBorders>
            <w:noWrap w:val="0"/>
            <w:vAlign w:val="center"/>
          </w:tcPr>
          <w:p w14:paraId="38B39AB7">
            <w:pPr>
              <w:keepNext w:val="0"/>
              <w:keepLines w:val="0"/>
              <w:pageBreakBefore w:val="0"/>
              <w:kinsoku/>
              <w:overflowPunct/>
              <w:topLinePunct w:val="0"/>
              <w:autoSpaceDE/>
              <w:autoSpaceDN/>
              <w:bidi w:val="0"/>
              <w:snapToGrid w:val="0"/>
              <w:spacing w:line="240" w:lineRule="auto"/>
              <w:jc w:val="left"/>
              <w:rPr>
                <w:rFonts w:hint="default"/>
                <w:kern w:val="2"/>
                <w:sz w:val="21"/>
                <w:highlight w:val="none"/>
                <w:lang w:val="en-US" w:eastAsia="zh-CN" w:bidi="ar-SA"/>
              </w:rPr>
            </w:pPr>
            <w:r>
              <w:rPr>
                <w:rFonts w:hint="eastAsia"/>
                <w:kern w:val="2"/>
                <w:sz w:val="21"/>
                <w:highlight w:val="none"/>
                <w:lang w:val="en-US" w:eastAsia="zh-CN" w:bidi="ar-SA"/>
              </w:rPr>
              <w:t>见询价公告“六、供应商资格要求”</w:t>
            </w:r>
          </w:p>
        </w:tc>
      </w:tr>
      <w:tr w14:paraId="0F46DF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7" w:type="dxa"/>
            <w:vMerge w:val="restart"/>
            <w:tcBorders>
              <w:top w:val="single" w:color="auto" w:sz="4" w:space="0"/>
              <w:right w:val="single" w:color="auto" w:sz="4" w:space="0"/>
            </w:tcBorders>
            <w:noWrap w:val="0"/>
            <w:vAlign w:val="center"/>
          </w:tcPr>
          <w:p w14:paraId="7A07C3E4">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rPr>
            </w:pPr>
            <w:r>
              <w:rPr>
                <w:rFonts w:hint="eastAsia" w:ascii="宋体" w:hAnsi="宋体" w:cs="宋体"/>
                <w:szCs w:val="21"/>
              </w:rPr>
              <w:t>2.1.3</w:t>
            </w:r>
          </w:p>
        </w:tc>
        <w:tc>
          <w:tcPr>
            <w:tcW w:w="1049" w:type="dxa"/>
            <w:vMerge w:val="restart"/>
            <w:tcBorders>
              <w:top w:val="single" w:color="auto" w:sz="4" w:space="0"/>
              <w:right w:val="single" w:color="auto" w:sz="4" w:space="0"/>
            </w:tcBorders>
            <w:noWrap w:val="0"/>
            <w:vAlign w:val="center"/>
          </w:tcPr>
          <w:p w14:paraId="6A4E09B1">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rPr>
            </w:pPr>
            <w:r>
              <w:rPr>
                <w:rFonts w:hint="eastAsia" w:ascii="宋体" w:hAnsi="宋体" w:cs="宋体"/>
                <w:szCs w:val="21"/>
              </w:rPr>
              <w:t>响应性评审标准</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EF1FFDC">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lang w:eastAsia="zh-CN"/>
              </w:rPr>
              <w:t>询价</w:t>
            </w:r>
            <w:r>
              <w:rPr>
                <w:rFonts w:hint="eastAsia" w:ascii="宋体" w:hAnsi="宋体" w:cs="宋体"/>
                <w:color w:val="auto"/>
                <w:szCs w:val="21"/>
                <w:highlight w:val="none"/>
              </w:rPr>
              <w:t>报价</w:t>
            </w:r>
          </w:p>
        </w:tc>
        <w:tc>
          <w:tcPr>
            <w:tcW w:w="5947" w:type="dxa"/>
            <w:gridSpan w:val="2"/>
            <w:tcBorders>
              <w:top w:val="single" w:color="auto" w:sz="4" w:space="0"/>
              <w:left w:val="single" w:color="auto" w:sz="4" w:space="0"/>
              <w:bottom w:val="single" w:color="auto" w:sz="4" w:space="0"/>
            </w:tcBorders>
            <w:noWrap w:val="0"/>
            <w:vAlign w:val="center"/>
          </w:tcPr>
          <w:p w14:paraId="3B1D0AC8">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color w:val="auto"/>
                <w:szCs w:val="21"/>
                <w:highlight w:val="none"/>
              </w:rPr>
            </w:pPr>
            <w:r>
              <w:rPr>
                <w:rFonts w:hint="eastAsia" w:ascii="宋体" w:hAnsi="宋体" w:cs="宋体"/>
                <w:color w:val="auto"/>
                <w:szCs w:val="21"/>
                <w:highlight w:val="none"/>
              </w:rPr>
              <w:t>最高限价为</w:t>
            </w:r>
            <w:r>
              <w:rPr>
                <w:rFonts w:hint="eastAsia" w:ascii="宋体" w:hAnsi="宋体" w:cs="宋体"/>
                <w:color w:val="auto"/>
                <w:szCs w:val="21"/>
                <w:highlight w:val="none"/>
                <w:lang w:val="en-US" w:eastAsia="zh-CN"/>
              </w:rPr>
              <w:t>39.2</w:t>
            </w:r>
            <w:r>
              <w:rPr>
                <w:rFonts w:hint="eastAsia" w:ascii="宋体" w:hAnsi="宋体" w:cs="宋体"/>
                <w:color w:val="auto"/>
                <w:szCs w:val="21"/>
                <w:highlight w:val="none"/>
              </w:rPr>
              <w:t>万元</w:t>
            </w:r>
          </w:p>
        </w:tc>
      </w:tr>
      <w:tr w14:paraId="68EB8E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7" w:type="dxa"/>
            <w:vMerge w:val="continue"/>
            <w:tcBorders>
              <w:right w:val="single" w:color="auto" w:sz="4" w:space="0"/>
            </w:tcBorders>
            <w:noWrap w:val="0"/>
            <w:vAlign w:val="center"/>
          </w:tcPr>
          <w:p w14:paraId="18E51BA7">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049" w:type="dxa"/>
            <w:vMerge w:val="continue"/>
            <w:tcBorders>
              <w:right w:val="single" w:color="auto" w:sz="4" w:space="0"/>
            </w:tcBorders>
            <w:noWrap w:val="0"/>
            <w:vAlign w:val="center"/>
          </w:tcPr>
          <w:p w14:paraId="510D14F6">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84E9A00">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rPr>
            </w:pPr>
            <w:r>
              <w:rPr>
                <w:rFonts w:hint="eastAsia" w:ascii="宋体" w:hAnsi="宋体" w:cs="宋体"/>
                <w:szCs w:val="21"/>
              </w:rPr>
              <w:t>服务周期</w:t>
            </w:r>
          </w:p>
        </w:tc>
        <w:tc>
          <w:tcPr>
            <w:tcW w:w="5947" w:type="dxa"/>
            <w:gridSpan w:val="2"/>
            <w:tcBorders>
              <w:top w:val="single" w:color="auto" w:sz="4" w:space="0"/>
              <w:left w:val="single" w:color="auto" w:sz="4" w:space="0"/>
              <w:bottom w:val="single" w:color="auto" w:sz="4" w:space="0"/>
            </w:tcBorders>
            <w:noWrap w:val="0"/>
            <w:vAlign w:val="center"/>
          </w:tcPr>
          <w:p w14:paraId="6FD08900">
            <w:pPr>
              <w:keepNext w:val="0"/>
              <w:keepLines w:val="0"/>
              <w:pageBreakBefore w:val="0"/>
              <w:kinsoku/>
              <w:overflowPunct/>
              <w:topLinePunct w:val="0"/>
              <w:autoSpaceDE/>
              <w:autoSpaceDN/>
              <w:bidi w:val="0"/>
              <w:adjustRightInd w:val="0"/>
              <w:snapToGrid w:val="0"/>
              <w:spacing w:line="240" w:lineRule="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自签订合同至取得市行政审批局批</w:t>
            </w:r>
            <w:bookmarkStart w:id="19" w:name="_GoBack"/>
            <w:bookmarkEnd w:id="19"/>
            <w:r>
              <w:rPr>
                <w:rFonts w:hint="eastAsia" w:ascii="宋体" w:hAnsi="宋体" w:cs="宋体"/>
                <w:szCs w:val="21"/>
                <w:highlight w:val="none"/>
                <w:lang w:val="en-US" w:eastAsia="zh-CN"/>
              </w:rPr>
              <w:t>复为止</w:t>
            </w:r>
          </w:p>
        </w:tc>
      </w:tr>
      <w:tr w14:paraId="659734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7" w:type="dxa"/>
            <w:vMerge w:val="continue"/>
            <w:tcBorders>
              <w:right w:val="single" w:color="auto" w:sz="4" w:space="0"/>
            </w:tcBorders>
            <w:noWrap w:val="0"/>
            <w:vAlign w:val="center"/>
          </w:tcPr>
          <w:p w14:paraId="4A9571AC">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049" w:type="dxa"/>
            <w:vMerge w:val="continue"/>
            <w:tcBorders>
              <w:right w:val="single" w:color="auto" w:sz="4" w:space="0"/>
            </w:tcBorders>
            <w:noWrap w:val="0"/>
            <w:vAlign w:val="center"/>
          </w:tcPr>
          <w:p w14:paraId="19E9421B">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FF0C5EF">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rPr>
            </w:pPr>
            <w:r>
              <w:rPr>
                <w:rFonts w:hint="eastAsia" w:ascii="宋体" w:hAnsi="宋体" w:cs="宋体"/>
                <w:szCs w:val="21"/>
              </w:rPr>
              <w:t>质量标准</w:t>
            </w:r>
          </w:p>
        </w:tc>
        <w:tc>
          <w:tcPr>
            <w:tcW w:w="5947" w:type="dxa"/>
            <w:gridSpan w:val="2"/>
            <w:tcBorders>
              <w:top w:val="single" w:color="auto" w:sz="4" w:space="0"/>
              <w:left w:val="single" w:color="auto" w:sz="4" w:space="0"/>
              <w:bottom w:val="single" w:color="auto" w:sz="4" w:space="0"/>
            </w:tcBorders>
            <w:noWrap w:val="0"/>
            <w:vAlign w:val="center"/>
          </w:tcPr>
          <w:p w14:paraId="51B6C8CD">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r>
              <w:rPr>
                <w:rFonts w:hint="eastAsia" w:ascii="宋体" w:hAnsi="宋体" w:cs="宋体"/>
                <w:szCs w:val="21"/>
                <w:highlight w:val="none"/>
              </w:rPr>
              <w:t>合格</w:t>
            </w:r>
          </w:p>
        </w:tc>
      </w:tr>
      <w:tr w14:paraId="68FF8E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87" w:type="dxa"/>
            <w:vMerge w:val="continue"/>
            <w:tcBorders>
              <w:right w:val="single" w:color="auto" w:sz="4" w:space="0"/>
            </w:tcBorders>
            <w:noWrap w:val="0"/>
            <w:vAlign w:val="center"/>
          </w:tcPr>
          <w:p w14:paraId="7B20C879">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049" w:type="dxa"/>
            <w:vMerge w:val="continue"/>
            <w:tcBorders>
              <w:right w:val="single" w:color="auto" w:sz="4" w:space="0"/>
            </w:tcBorders>
            <w:noWrap w:val="0"/>
            <w:vAlign w:val="center"/>
          </w:tcPr>
          <w:p w14:paraId="5C8AAE33">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1D944A0">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lang w:eastAsia="zh-CN"/>
              </w:rPr>
              <w:t>询价</w:t>
            </w:r>
            <w:r>
              <w:rPr>
                <w:rFonts w:hint="eastAsia" w:ascii="宋体" w:hAnsi="宋体" w:cs="宋体"/>
                <w:szCs w:val="21"/>
                <w:highlight w:val="none"/>
              </w:rPr>
              <w:t>有效期</w:t>
            </w:r>
          </w:p>
        </w:tc>
        <w:tc>
          <w:tcPr>
            <w:tcW w:w="5947" w:type="dxa"/>
            <w:gridSpan w:val="2"/>
            <w:tcBorders>
              <w:top w:val="single" w:color="auto" w:sz="4" w:space="0"/>
              <w:left w:val="single" w:color="auto" w:sz="4" w:space="0"/>
              <w:bottom w:val="single" w:color="auto" w:sz="4" w:space="0"/>
            </w:tcBorders>
            <w:noWrap w:val="0"/>
            <w:vAlign w:val="center"/>
          </w:tcPr>
          <w:p w14:paraId="0AF5B058">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0日历天（从</w:t>
            </w:r>
            <w:r>
              <w:rPr>
                <w:rFonts w:hint="eastAsia" w:ascii="宋体" w:hAnsi="宋体" w:cs="宋体"/>
                <w:szCs w:val="21"/>
                <w:highlight w:val="none"/>
                <w:lang w:val="en-US" w:eastAsia="zh-CN"/>
              </w:rPr>
              <w:t>询价</w:t>
            </w:r>
            <w:r>
              <w:rPr>
                <w:rFonts w:hint="eastAsia" w:ascii="宋体" w:hAnsi="宋体" w:cs="宋体"/>
                <w:szCs w:val="21"/>
                <w:highlight w:val="none"/>
              </w:rPr>
              <w:t>截止之日算起）</w:t>
            </w:r>
          </w:p>
        </w:tc>
      </w:tr>
      <w:tr w14:paraId="241FF3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7" w:type="dxa"/>
            <w:vMerge w:val="continue"/>
            <w:tcBorders>
              <w:right w:val="single" w:color="auto" w:sz="4" w:space="0"/>
            </w:tcBorders>
            <w:noWrap w:val="0"/>
            <w:vAlign w:val="center"/>
          </w:tcPr>
          <w:p w14:paraId="2433D849">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049" w:type="dxa"/>
            <w:vMerge w:val="continue"/>
            <w:tcBorders>
              <w:right w:val="single" w:color="auto" w:sz="4" w:space="0"/>
            </w:tcBorders>
            <w:noWrap w:val="0"/>
            <w:vAlign w:val="center"/>
          </w:tcPr>
          <w:p w14:paraId="5FB391AC">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588F553">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rPr>
            </w:pPr>
            <w:r>
              <w:rPr>
                <w:rFonts w:hint="eastAsia" w:ascii="宋体" w:hAnsi="宋体" w:cs="宋体"/>
                <w:szCs w:val="21"/>
              </w:rPr>
              <w:t>其他要求</w:t>
            </w:r>
          </w:p>
        </w:tc>
        <w:tc>
          <w:tcPr>
            <w:tcW w:w="5947" w:type="dxa"/>
            <w:gridSpan w:val="2"/>
            <w:tcBorders>
              <w:top w:val="single" w:color="auto" w:sz="4" w:space="0"/>
              <w:left w:val="single" w:color="auto" w:sz="4" w:space="0"/>
              <w:bottom w:val="single" w:color="auto" w:sz="4" w:space="0"/>
            </w:tcBorders>
            <w:noWrap w:val="0"/>
            <w:vAlign w:val="center"/>
          </w:tcPr>
          <w:p w14:paraId="44DB948A">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szCs w:val="21"/>
              </w:rPr>
            </w:pPr>
            <w:r>
              <w:rPr>
                <w:rFonts w:hint="eastAsia" w:ascii="宋体" w:hAnsi="宋体" w:cs="宋体"/>
                <w:szCs w:val="21"/>
              </w:rPr>
              <w:t>不存在</w:t>
            </w:r>
            <w:r>
              <w:rPr>
                <w:rFonts w:hint="eastAsia" w:ascii="宋体" w:hAnsi="宋体" w:cs="宋体"/>
                <w:szCs w:val="21"/>
                <w:lang w:eastAsia="zh-CN"/>
              </w:rPr>
              <w:t>询价</w:t>
            </w:r>
            <w:r>
              <w:rPr>
                <w:rFonts w:hint="eastAsia" w:ascii="宋体" w:hAnsi="宋体" w:cs="宋体"/>
                <w:szCs w:val="21"/>
              </w:rPr>
              <w:t>文件中禁止</w:t>
            </w:r>
            <w:r>
              <w:rPr>
                <w:rFonts w:hint="eastAsia" w:ascii="宋体" w:hAnsi="宋体" w:cs="宋体"/>
                <w:szCs w:val="21"/>
                <w:lang w:eastAsia="zh-CN"/>
              </w:rPr>
              <w:t>询价</w:t>
            </w:r>
            <w:r>
              <w:rPr>
                <w:rFonts w:hint="eastAsia" w:ascii="宋体" w:hAnsi="宋体" w:cs="宋体"/>
                <w:szCs w:val="21"/>
              </w:rPr>
              <w:t>的情形</w:t>
            </w:r>
          </w:p>
        </w:tc>
      </w:tr>
      <w:tr w14:paraId="30B318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1836" w:type="dxa"/>
            <w:gridSpan w:val="2"/>
            <w:tcBorders>
              <w:top w:val="single" w:color="auto" w:sz="4" w:space="0"/>
              <w:bottom w:val="single" w:color="auto" w:sz="4" w:space="0"/>
              <w:right w:val="single" w:color="auto" w:sz="4" w:space="0"/>
            </w:tcBorders>
            <w:noWrap w:val="0"/>
            <w:vAlign w:val="center"/>
          </w:tcPr>
          <w:p w14:paraId="1047DFDA">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rPr>
            </w:pPr>
            <w:r>
              <w:rPr>
                <w:rFonts w:hint="eastAsia" w:ascii="宋体" w:hAnsi="宋体" w:cs="宋体"/>
                <w:b/>
              </w:rPr>
              <w:t>条款号</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D99ECD3">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rPr>
            </w:pPr>
            <w:r>
              <w:rPr>
                <w:rFonts w:hint="eastAsia" w:ascii="宋体" w:hAnsi="宋体" w:cs="宋体"/>
                <w:b/>
              </w:rPr>
              <w:t>条款内容</w:t>
            </w:r>
          </w:p>
        </w:tc>
        <w:tc>
          <w:tcPr>
            <w:tcW w:w="5947" w:type="dxa"/>
            <w:gridSpan w:val="2"/>
            <w:tcBorders>
              <w:top w:val="single" w:color="auto" w:sz="4" w:space="0"/>
              <w:left w:val="single" w:color="auto" w:sz="4" w:space="0"/>
              <w:bottom w:val="single" w:color="auto" w:sz="4" w:space="0"/>
              <w:right w:val="single" w:color="auto" w:sz="4" w:space="0"/>
            </w:tcBorders>
            <w:noWrap w:val="0"/>
            <w:vAlign w:val="center"/>
          </w:tcPr>
          <w:p w14:paraId="25344C7A">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rPr>
            </w:pPr>
            <w:r>
              <w:rPr>
                <w:rFonts w:hint="eastAsia" w:ascii="宋体" w:hAnsi="宋体" w:cs="宋体"/>
                <w:b/>
              </w:rPr>
              <w:t>编列内容</w:t>
            </w:r>
          </w:p>
        </w:tc>
      </w:tr>
      <w:tr w14:paraId="05316D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4" w:hRule="atLeast"/>
          <w:jc w:val="center"/>
        </w:trPr>
        <w:tc>
          <w:tcPr>
            <w:tcW w:w="1836" w:type="dxa"/>
            <w:gridSpan w:val="2"/>
            <w:tcBorders>
              <w:bottom w:val="single" w:color="auto" w:sz="4" w:space="0"/>
              <w:right w:val="single" w:color="auto" w:sz="4" w:space="0"/>
            </w:tcBorders>
            <w:noWrap w:val="0"/>
            <w:vAlign w:val="center"/>
          </w:tcPr>
          <w:p w14:paraId="1A1DD175">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r>
              <w:rPr>
                <w:rFonts w:hint="eastAsia" w:ascii="宋体" w:hAnsi="宋体" w:cs="宋体"/>
              </w:rPr>
              <w:t>2.2.1</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91C5214">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highlight w:val="none"/>
              </w:rPr>
            </w:pPr>
            <w:r>
              <w:rPr>
                <w:rFonts w:hint="eastAsia" w:ascii="宋体" w:hAnsi="宋体" w:cs="宋体"/>
                <w:highlight w:val="none"/>
              </w:rPr>
              <w:t>分值构成</w:t>
            </w:r>
          </w:p>
          <w:p w14:paraId="7E06B794">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highlight w:val="none"/>
              </w:rPr>
            </w:pPr>
            <w:r>
              <w:rPr>
                <w:rFonts w:hint="eastAsia" w:ascii="宋体" w:hAnsi="宋体" w:cs="宋体"/>
                <w:highlight w:val="none"/>
              </w:rPr>
              <w:t>(总分100分)</w:t>
            </w:r>
          </w:p>
        </w:tc>
        <w:tc>
          <w:tcPr>
            <w:tcW w:w="5947" w:type="dxa"/>
            <w:gridSpan w:val="2"/>
            <w:tcBorders>
              <w:top w:val="single" w:color="auto" w:sz="4" w:space="0"/>
              <w:left w:val="single" w:color="auto" w:sz="4" w:space="0"/>
              <w:bottom w:val="single" w:color="auto" w:sz="4" w:space="0"/>
              <w:right w:val="single" w:color="auto" w:sz="4" w:space="0"/>
            </w:tcBorders>
            <w:noWrap w:val="0"/>
            <w:vAlign w:val="center"/>
          </w:tcPr>
          <w:p w14:paraId="03C29292">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highlight w:val="none"/>
              </w:rPr>
            </w:pPr>
            <w:r>
              <w:rPr>
                <w:rFonts w:hint="eastAsia" w:ascii="宋体" w:hAnsi="宋体" w:cs="宋体"/>
                <w:highlight w:val="none"/>
              </w:rPr>
              <w:t>投标总报价评审：</w:t>
            </w:r>
            <w:r>
              <w:rPr>
                <w:rFonts w:hint="eastAsia" w:ascii="宋体" w:hAnsi="宋体" w:cs="宋体"/>
                <w:highlight w:val="none"/>
                <w:u w:val="single"/>
                <w:lang w:val="en-US" w:eastAsia="zh-CN"/>
              </w:rPr>
              <w:t>2</w:t>
            </w:r>
            <w:r>
              <w:rPr>
                <w:rFonts w:hint="eastAsia" w:ascii="宋体" w:hAnsi="宋体" w:cs="宋体"/>
                <w:highlight w:val="none"/>
                <w:u w:val="single"/>
              </w:rPr>
              <w:t>0</w:t>
            </w:r>
            <w:r>
              <w:rPr>
                <w:rFonts w:hint="eastAsia" w:ascii="宋体" w:hAnsi="宋体" w:cs="宋体"/>
                <w:highlight w:val="none"/>
              </w:rPr>
              <w:t>分</w:t>
            </w:r>
          </w:p>
          <w:p w14:paraId="6A8B6380">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highlight w:val="none"/>
              </w:rPr>
            </w:pPr>
            <w:r>
              <w:rPr>
                <w:rFonts w:hint="eastAsia" w:ascii="宋体" w:hAnsi="宋体" w:cs="宋体"/>
                <w:highlight w:val="none"/>
              </w:rPr>
              <w:t>商务部分评审：</w:t>
            </w:r>
            <w:r>
              <w:rPr>
                <w:rFonts w:hint="eastAsia" w:ascii="宋体" w:hAnsi="宋体" w:cs="宋体"/>
                <w:highlight w:val="none"/>
                <w:u w:val="single"/>
                <w:lang w:val="en-US" w:eastAsia="zh-CN"/>
              </w:rPr>
              <w:t>2</w:t>
            </w:r>
            <w:r>
              <w:rPr>
                <w:rFonts w:hint="eastAsia" w:ascii="宋体" w:hAnsi="宋体" w:cs="宋体"/>
                <w:highlight w:val="none"/>
                <w:u w:val="single"/>
              </w:rPr>
              <w:t>0</w:t>
            </w:r>
            <w:r>
              <w:rPr>
                <w:rFonts w:hint="eastAsia" w:ascii="宋体" w:hAnsi="宋体" w:cs="宋体"/>
                <w:highlight w:val="none"/>
              </w:rPr>
              <w:t>分</w:t>
            </w:r>
          </w:p>
          <w:p w14:paraId="687B3E92">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highlight w:val="none"/>
              </w:rPr>
            </w:pPr>
            <w:r>
              <w:rPr>
                <w:rFonts w:hint="eastAsia" w:ascii="宋体" w:hAnsi="宋体" w:cs="宋体"/>
                <w:highlight w:val="none"/>
                <w:lang w:val="en-US" w:eastAsia="zh-CN"/>
              </w:rPr>
              <w:t>技术部分评审</w:t>
            </w:r>
            <w:r>
              <w:rPr>
                <w:rFonts w:hint="eastAsia" w:ascii="宋体" w:hAnsi="宋体" w:cs="宋体"/>
                <w:highlight w:val="none"/>
              </w:rPr>
              <w:t>：</w:t>
            </w:r>
            <w:r>
              <w:rPr>
                <w:rFonts w:hint="eastAsia" w:ascii="宋体" w:hAnsi="宋体" w:cs="宋体"/>
                <w:highlight w:val="none"/>
                <w:u w:val="single"/>
                <w:lang w:val="en-US" w:eastAsia="zh-CN"/>
              </w:rPr>
              <w:t>60</w:t>
            </w:r>
            <w:r>
              <w:rPr>
                <w:rFonts w:hint="eastAsia" w:ascii="宋体" w:hAnsi="宋体" w:cs="宋体"/>
                <w:highlight w:val="none"/>
              </w:rPr>
              <w:t>分</w:t>
            </w:r>
          </w:p>
        </w:tc>
      </w:tr>
      <w:tr w14:paraId="7A8104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36" w:type="dxa"/>
            <w:gridSpan w:val="2"/>
            <w:tcBorders>
              <w:top w:val="single" w:color="auto" w:sz="4" w:space="0"/>
              <w:bottom w:val="single" w:color="auto" w:sz="4" w:space="0"/>
              <w:right w:val="single" w:color="auto" w:sz="4" w:space="0"/>
            </w:tcBorders>
            <w:noWrap w:val="0"/>
            <w:vAlign w:val="center"/>
          </w:tcPr>
          <w:p w14:paraId="06BA7C80">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kern w:val="2"/>
                <w:sz w:val="21"/>
                <w:lang w:val="en-US" w:eastAsia="zh-CN" w:bidi="ar-SA"/>
              </w:rPr>
            </w:pPr>
            <w:r>
              <w:rPr>
                <w:rFonts w:hint="eastAsia" w:ascii="宋体" w:hAnsi="宋体" w:cs="宋体"/>
                <w:b/>
              </w:rPr>
              <w:t>条款号</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C224271">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kern w:val="2"/>
                <w:sz w:val="21"/>
                <w:lang w:val="en-US" w:eastAsia="zh-CN" w:bidi="ar-SA"/>
              </w:rPr>
            </w:pPr>
            <w:r>
              <w:rPr>
                <w:rFonts w:hint="eastAsia" w:ascii="宋体" w:hAnsi="宋体" w:cs="宋体"/>
                <w:b/>
              </w:rPr>
              <w:t>评分因素</w:t>
            </w:r>
          </w:p>
        </w:tc>
        <w:tc>
          <w:tcPr>
            <w:tcW w:w="5947" w:type="dxa"/>
            <w:gridSpan w:val="2"/>
            <w:tcBorders>
              <w:top w:val="single" w:color="auto" w:sz="4" w:space="0"/>
              <w:left w:val="single" w:color="auto" w:sz="4" w:space="0"/>
              <w:bottom w:val="single" w:color="auto" w:sz="4" w:space="0"/>
              <w:right w:val="single" w:color="auto" w:sz="4" w:space="0"/>
            </w:tcBorders>
            <w:noWrap w:val="0"/>
            <w:vAlign w:val="center"/>
          </w:tcPr>
          <w:p w14:paraId="662D59E8">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b/>
                <w:kern w:val="2"/>
                <w:sz w:val="21"/>
                <w:lang w:val="en-US" w:eastAsia="zh-CN" w:bidi="ar-SA"/>
              </w:rPr>
            </w:pPr>
            <w:r>
              <w:rPr>
                <w:rFonts w:hint="eastAsia" w:ascii="宋体" w:hAnsi="宋体" w:cs="宋体"/>
                <w:b/>
              </w:rPr>
              <w:t>评分标准</w:t>
            </w:r>
          </w:p>
        </w:tc>
      </w:tr>
      <w:tr w14:paraId="4069AC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04" w:hRule="atLeast"/>
          <w:jc w:val="center"/>
        </w:trPr>
        <w:tc>
          <w:tcPr>
            <w:tcW w:w="787" w:type="dxa"/>
            <w:tcBorders>
              <w:right w:val="single" w:color="auto" w:sz="4" w:space="0"/>
            </w:tcBorders>
            <w:noWrap w:val="0"/>
            <w:vAlign w:val="center"/>
          </w:tcPr>
          <w:p w14:paraId="7D22F41F">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r>
              <w:rPr>
                <w:rFonts w:hint="eastAsia" w:ascii="宋体" w:hAnsi="宋体" w:cs="宋体"/>
              </w:rPr>
              <w:t>2.2.</w:t>
            </w:r>
            <w:r>
              <w:rPr>
                <w:rFonts w:hint="eastAsia" w:ascii="宋体" w:hAnsi="宋体" w:cs="宋体"/>
                <w:lang w:val="en-US" w:eastAsia="zh-CN"/>
              </w:rPr>
              <w:t>2</w:t>
            </w:r>
            <w:r>
              <w:rPr>
                <w:rFonts w:hint="eastAsia" w:ascii="宋体" w:hAnsi="宋体" w:cs="宋体"/>
              </w:rPr>
              <w:t>（1）</w:t>
            </w:r>
          </w:p>
        </w:tc>
        <w:tc>
          <w:tcPr>
            <w:tcW w:w="1049" w:type="dxa"/>
            <w:tcBorders>
              <w:right w:val="single" w:color="auto" w:sz="4" w:space="0"/>
            </w:tcBorders>
            <w:noWrap w:val="0"/>
            <w:vAlign w:val="center"/>
          </w:tcPr>
          <w:p w14:paraId="7FF83548">
            <w:pPr>
              <w:keepNext w:val="0"/>
              <w:keepLines w:val="0"/>
              <w:pageBreakBefore w:val="0"/>
              <w:kinsoku/>
              <w:overflowPunct/>
              <w:topLinePunct w:val="0"/>
              <w:autoSpaceDE/>
              <w:autoSpaceDN/>
              <w:bidi w:val="0"/>
              <w:adjustRightInd w:val="0"/>
              <w:snapToGrid w:val="0"/>
              <w:spacing w:line="240" w:lineRule="auto"/>
              <w:ind w:left="0" w:leftChars="0" w:right="0" w:rightChars="0" w:firstLine="0" w:firstLineChars="0"/>
              <w:jc w:val="center"/>
              <w:rPr>
                <w:rFonts w:hint="eastAsia" w:ascii="宋体" w:hAnsi="宋体" w:eastAsia="宋体" w:cs="宋体"/>
                <w:highlight w:val="none"/>
                <w:lang w:val="en-US" w:eastAsia="zh-CN"/>
              </w:rPr>
            </w:pPr>
            <w:r>
              <w:rPr>
                <w:rFonts w:hint="eastAsia" w:ascii="宋体" w:hAnsi="宋体" w:cs="宋体"/>
                <w:highlight w:val="none"/>
                <w:lang w:val="en-US" w:eastAsia="zh-CN"/>
              </w:rPr>
              <w:t>询价</w:t>
            </w:r>
            <w:r>
              <w:rPr>
                <w:rFonts w:hint="eastAsia" w:ascii="宋体" w:hAnsi="宋体" w:cs="宋体"/>
                <w:highlight w:val="none"/>
              </w:rPr>
              <w:t>报价</w:t>
            </w:r>
            <w:r>
              <w:rPr>
                <w:rFonts w:hint="eastAsia" w:ascii="宋体" w:hAnsi="宋体" w:cs="宋体"/>
                <w:highlight w:val="none"/>
                <w:lang w:val="en-US" w:eastAsia="zh-CN"/>
              </w:rPr>
              <w:t>评审</w:t>
            </w:r>
          </w:p>
          <w:p w14:paraId="2B9B5A75">
            <w:pPr>
              <w:keepNext w:val="0"/>
              <w:keepLines w:val="0"/>
              <w:pageBreakBefore w:val="0"/>
              <w:kinsoku/>
              <w:overflowPunct/>
              <w:topLinePunct w:val="0"/>
              <w:autoSpaceDE/>
              <w:autoSpaceDN/>
              <w:bidi w:val="0"/>
              <w:adjustRightInd w:val="0"/>
              <w:snapToGrid w:val="0"/>
              <w:spacing w:line="240" w:lineRule="auto"/>
              <w:ind w:left="0" w:leftChars="0" w:right="0" w:rightChars="0" w:firstLine="0" w:firstLineChars="0"/>
              <w:jc w:val="center"/>
              <w:rPr>
                <w:rFonts w:hint="eastAsia" w:ascii="宋体" w:hAnsi="宋体" w:cs="宋体"/>
                <w:highlight w:val="green"/>
              </w:rPr>
            </w:pPr>
            <w:r>
              <w:rPr>
                <w:rFonts w:hint="eastAsia" w:ascii="宋体" w:hAnsi="宋体" w:cs="宋体"/>
                <w:highlight w:val="none"/>
              </w:rPr>
              <w:t>（</w:t>
            </w:r>
            <w:r>
              <w:rPr>
                <w:rFonts w:hint="eastAsia" w:ascii="宋体" w:hAnsi="宋体" w:cs="宋体"/>
                <w:highlight w:val="none"/>
                <w:lang w:val="en-US" w:eastAsia="zh-CN"/>
              </w:rPr>
              <w:t>20</w:t>
            </w:r>
            <w:r>
              <w:rPr>
                <w:rFonts w:hint="eastAsia" w:ascii="宋体" w:hAnsi="宋体" w:cs="宋体"/>
                <w:highlight w:val="none"/>
              </w:rPr>
              <w:t>分）</w:t>
            </w:r>
          </w:p>
        </w:tc>
        <w:tc>
          <w:tcPr>
            <w:tcW w:w="1275" w:type="dxa"/>
            <w:tcBorders>
              <w:top w:val="single" w:color="auto" w:sz="4" w:space="0"/>
              <w:left w:val="single" w:color="auto" w:sz="4" w:space="0"/>
              <w:right w:val="single" w:color="auto" w:sz="4" w:space="0"/>
            </w:tcBorders>
            <w:noWrap w:val="0"/>
            <w:vAlign w:val="center"/>
          </w:tcPr>
          <w:p w14:paraId="6E5E4E0B">
            <w:pPr>
              <w:keepNext w:val="0"/>
              <w:keepLines w:val="0"/>
              <w:pageBreakBefore w:val="0"/>
              <w:widowControl/>
              <w:kinsoku/>
              <w:overflowPunct/>
              <w:topLinePunct w:val="0"/>
              <w:autoSpaceDE/>
              <w:autoSpaceDN/>
              <w:bidi w:val="0"/>
              <w:adjustRightInd w:val="0"/>
              <w:snapToGrid w:val="0"/>
              <w:spacing w:line="240" w:lineRule="auto"/>
              <w:jc w:val="center"/>
              <w:rPr>
                <w:rFonts w:hint="eastAsia" w:ascii="宋体" w:hAnsi="宋体" w:cs="宋体"/>
                <w:highlight w:val="none"/>
              </w:rPr>
            </w:pPr>
            <w:r>
              <w:rPr>
                <w:rFonts w:hint="eastAsia" w:ascii="宋体" w:hAnsi="宋体" w:cs="宋体"/>
                <w:highlight w:val="none"/>
                <w:lang w:val="en-US" w:eastAsia="zh-CN"/>
              </w:rPr>
              <w:t>询价</w:t>
            </w:r>
            <w:r>
              <w:rPr>
                <w:rFonts w:hint="eastAsia" w:ascii="宋体" w:hAnsi="宋体" w:cs="宋体"/>
                <w:highlight w:val="none"/>
              </w:rPr>
              <w:t>总报价（</w:t>
            </w:r>
            <w:r>
              <w:rPr>
                <w:rFonts w:hint="eastAsia" w:ascii="宋体" w:hAnsi="宋体" w:cs="宋体"/>
                <w:highlight w:val="none"/>
                <w:lang w:val="en-US" w:eastAsia="zh-CN"/>
              </w:rPr>
              <w:t>20</w:t>
            </w:r>
            <w:r>
              <w:rPr>
                <w:rFonts w:hint="eastAsia" w:ascii="宋体" w:hAnsi="宋体" w:cs="宋体"/>
                <w:highlight w:val="none"/>
              </w:rPr>
              <w:t>分）</w:t>
            </w:r>
          </w:p>
        </w:tc>
        <w:tc>
          <w:tcPr>
            <w:tcW w:w="5947" w:type="dxa"/>
            <w:gridSpan w:val="2"/>
            <w:tcBorders>
              <w:top w:val="single" w:color="auto" w:sz="4" w:space="0"/>
              <w:left w:val="single" w:color="auto" w:sz="4" w:space="0"/>
              <w:bottom w:val="single" w:color="auto" w:sz="4" w:space="0"/>
              <w:right w:val="single" w:color="auto" w:sz="4" w:space="0"/>
            </w:tcBorders>
            <w:noWrap w:val="0"/>
            <w:vAlign w:val="center"/>
          </w:tcPr>
          <w:p w14:paraId="2A96F018">
            <w:pPr>
              <w:keepNext w:val="0"/>
              <w:keepLines w:val="0"/>
              <w:pageBreakBefore w:val="0"/>
              <w:kinsoku/>
              <w:overflowPunct/>
              <w:topLinePunct w:val="0"/>
              <w:autoSpaceDE/>
              <w:autoSpaceDN/>
              <w:bidi w:val="0"/>
              <w:adjustRightInd w:val="0"/>
              <w:snapToGrid w:val="0"/>
              <w:spacing w:line="240" w:lineRule="auto"/>
              <w:rPr>
                <w:rFonts w:hint="eastAsia" w:ascii="宋体" w:hAnsi="宋体" w:cs="宋体"/>
                <w:color w:val="auto"/>
                <w:highlight w:val="none"/>
              </w:rPr>
            </w:pPr>
            <w:r>
              <w:rPr>
                <w:rFonts w:hint="eastAsia" w:ascii="宋体" w:hAnsi="宋体" w:cs="宋体"/>
                <w:color w:val="auto"/>
                <w:highlight w:val="none"/>
                <w:lang w:val="en-US" w:eastAsia="zh-CN"/>
              </w:rPr>
              <w:t>采用</w:t>
            </w:r>
            <w:r>
              <w:rPr>
                <w:rFonts w:hint="eastAsia" w:ascii="宋体" w:hAnsi="宋体" w:cs="宋体"/>
                <w:color w:val="auto"/>
                <w:highlight w:val="none"/>
              </w:rPr>
              <w:t>满足</w:t>
            </w:r>
            <w:r>
              <w:rPr>
                <w:rFonts w:hint="eastAsia" w:ascii="宋体" w:hAnsi="宋体" w:cs="宋体"/>
                <w:color w:val="auto"/>
                <w:highlight w:val="none"/>
                <w:lang w:val="en-US" w:eastAsia="zh-CN"/>
              </w:rPr>
              <w:t>询价</w:t>
            </w:r>
            <w:r>
              <w:rPr>
                <w:rFonts w:hint="eastAsia" w:ascii="宋体" w:hAnsi="宋体" w:cs="宋体"/>
                <w:color w:val="auto"/>
                <w:highlight w:val="none"/>
              </w:rPr>
              <w:t>文件要求且有效</w:t>
            </w:r>
            <w:r>
              <w:rPr>
                <w:rFonts w:hint="eastAsia" w:ascii="宋体" w:hAnsi="宋体" w:cs="宋体"/>
                <w:color w:val="auto"/>
                <w:highlight w:val="none"/>
                <w:lang w:val="en-US" w:eastAsia="zh-CN"/>
              </w:rPr>
              <w:t>的询价申请人平均</w:t>
            </w:r>
            <w:r>
              <w:rPr>
                <w:rFonts w:hint="eastAsia" w:ascii="宋体" w:hAnsi="宋体" w:cs="宋体"/>
                <w:color w:val="auto"/>
                <w:highlight w:val="none"/>
              </w:rPr>
              <w:t>报价为</w:t>
            </w:r>
            <w:r>
              <w:rPr>
                <w:rFonts w:hint="eastAsia" w:ascii="宋体" w:hAnsi="宋体" w:cs="宋体"/>
                <w:color w:val="auto"/>
                <w:highlight w:val="none"/>
                <w:lang w:val="en-US" w:eastAsia="zh-CN"/>
              </w:rPr>
              <w:t>评审</w:t>
            </w:r>
            <w:r>
              <w:rPr>
                <w:rFonts w:hint="eastAsia" w:ascii="宋体" w:hAnsi="宋体" w:cs="宋体"/>
                <w:color w:val="auto"/>
                <w:highlight w:val="none"/>
              </w:rPr>
              <w:t>基准价，其价格分为满分。</w:t>
            </w:r>
            <w:r>
              <w:rPr>
                <w:rFonts w:hint="eastAsia" w:ascii="宋体" w:hAnsi="宋体" w:cs="宋体"/>
                <w:color w:val="auto"/>
                <w:highlight w:val="none"/>
                <w:lang w:val="en-US" w:eastAsia="zh-CN"/>
              </w:rPr>
              <w:t>高于平均价的1%减1分，低于平均报价的1%减0.5分，减完为止。</w:t>
            </w:r>
          </w:p>
        </w:tc>
      </w:tr>
      <w:tr w14:paraId="5FC478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652" w:hRule="atLeast"/>
          <w:jc w:val="center"/>
        </w:trPr>
        <w:tc>
          <w:tcPr>
            <w:tcW w:w="787" w:type="dxa"/>
            <w:vMerge w:val="restart"/>
            <w:tcBorders>
              <w:top w:val="single" w:color="auto" w:sz="4" w:space="0"/>
              <w:right w:val="single" w:color="auto" w:sz="4" w:space="0"/>
            </w:tcBorders>
            <w:noWrap w:val="0"/>
            <w:vAlign w:val="center"/>
          </w:tcPr>
          <w:p w14:paraId="353B26ED">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r>
              <w:rPr>
                <w:rFonts w:hint="eastAsia" w:ascii="宋体" w:hAnsi="宋体" w:cs="宋体"/>
              </w:rPr>
              <w:t>2.2.</w:t>
            </w:r>
            <w:r>
              <w:rPr>
                <w:rFonts w:hint="eastAsia" w:ascii="宋体" w:hAnsi="宋体" w:cs="宋体"/>
                <w:lang w:val="en-US" w:eastAsia="zh-CN"/>
              </w:rPr>
              <w:t>2</w:t>
            </w:r>
            <w:r>
              <w:rPr>
                <w:rFonts w:hint="eastAsia" w:ascii="宋体" w:hAnsi="宋体" w:cs="宋体"/>
              </w:rPr>
              <w:t>（2）</w:t>
            </w:r>
          </w:p>
        </w:tc>
        <w:tc>
          <w:tcPr>
            <w:tcW w:w="1049" w:type="dxa"/>
            <w:vMerge w:val="restart"/>
            <w:tcBorders>
              <w:top w:val="single" w:color="auto" w:sz="4" w:space="0"/>
              <w:right w:val="single" w:color="auto" w:sz="4" w:space="0"/>
            </w:tcBorders>
            <w:noWrap w:val="0"/>
            <w:vAlign w:val="center"/>
          </w:tcPr>
          <w:p w14:paraId="6B579639">
            <w:pPr>
              <w:keepNext w:val="0"/>
              <w:keepLines w:val="0"/>
              <w:pageBreakBefore w:val="0"/>
              <w:tabs>
                <w:tab w:val="left" w:pos="360"/>
              </w:tabs>
              <w:kinsoku/>
              <w:overflowPunct/>
              <w:topLinePunct w:val="0"/>
              <w:autoSpaceDE/>
              <w:autoSpaceDN/>
              <w:bidi w:val="0"/>
              <w:adjustRightInd w:val="0"/>
              <w:snapToGrid w:val="0"/>
              <w:spacing w:line="240" w:lineRule="auto"/>
              <w:jc w:val="center"/>
              <w:rPr>
                <w:rFonts w:hint="eastAsia" w:ascii="宋体" w:hAnsi="宋体" w:cs="宋体"/>
                <w:szCs w:val="21"/>
              </w:rPr>
            </w:pPr>
            <w:r>
              <w:rPr>
                <w:rFonts w:hint="eastAsia" w:ascii="宋体" w:hAnsi="宋体" w:cs="宋体"/>
                <w:lang w:val="en-US" w:eastAsia="zh-CN"/>
              </w:rPr>
              <w:t>商务部分评审</w:t>
            </w:r>
            <w:r>
              <w:rPr>
                <w:rFonts w:hint="eastAsia" w:ascii="宋体" w:hAnsi="宋体" w:cs="宋体"/>
              </w:rPr>
              <w:t>（</w:t>
            </w:r>
            <w:r>
              <w:rPr>
                <w:rFonts w:hint="eastAsia" w:ascii="宋体" w:hAnsi="宋体" w:cs="宋体"/>
                <w:lang w:val="en-US" w:eastAsia="zh-CN"/>
              </w:rPr>
              <w:t>20</w:t>
            </w:r>
            <w:r>
              <w:rPr>
                <w:rFonts w:hint="eastAsia" w:ascii="宋体" w:hAnsi="宋体" w:cs="宋体"/>
              </w:rPr>
              <w:t>分）</w:t>
            </w:r>
          </w:p>
        </w:tc>
        <w:tc>
          <w:tcPr>
            <w:tcW w:w="1275" w:type="dxa"/>
            <w:tcBorders>
              <w:top w:val="single" w:color="auto" w:sz="4" w:space="0"/>
              <w:left w:val="single" w:color="auto" w:sz="4" w:space="0"/>
              <w:right w:val="single" w:color="auto" w:sz="4" w:space="0"/>
            </w:tcBorders>
            <w:noWrap w:val="0"/>
            <w:vAlign w:val="center"/>
          </w:tcPr>
          <w:p w14:paraId="5A3FDC72">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szCs w:val="21"/>
                <w:highlight w:val="none"/>
              </w:rPr>
            </w:pPr>
            <w:r>
              <w:rPr>
                <w:rFonts w:hint="eastAsia" w:ascii="宋体" w:hAnsi="宋体" w:cs="宋体"/>
                <w:szCs w:val="21"/>
                <w:highlight w:val="none"/>
              </w:rPr>
              <w:t>项目组人员配备情况</w:t>
            </w:r>
          </w:p>
          <w:p w14:paraId="407472F7">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highlight w:val="none"/>
              </w:rPr>
            </w:pPr>
            <w:r>
              <w:rPr>
                <w:rFonts w:hint="eastAsia" w:ascii="宋体" w:hAnsi="宋体" w:cs="宋体"/>
                <w:szCs w:val="21"/>
                <w:highlight w:val="none"/>
              </w:rPr>
              <w:t>（</w:t>
            </w:r>
            <w:r>
              <w:rPr>
                <w:rFonts w:hint="eastAsia" w:ascii="宋体" w:hAnsi="宋体" w:cs="宋体"/>
                <w:szCs w:val="21"/>
                <w:highlight w:val="none"/>
                <w:lang w:val="en-US" w:eastAsia="zh-CN"/>
              </w:rPr>
              <w:t>8</w:t>
            </w:r>
            <w:r>
              <w:rPr>
                <w:rFonts w:hint="eastAsia" w:ascii="宋体" w:hAnsi="宋体" w:cs="宋体"/>
                <w:szCs w:val="21"/>
                <w:highlight w:val="none"/>
              </w:rPr>
              <w:t>分）</w:t>
            </w:r>
          </w:p>
        </w:tc>
        <w:tc>
          <w:tcPr>
            <w:tcW w:w="5947" w:type="dxa"/>
            <w:gridSpan w:val="2"/>
            <w:tcBorders>
              <w:top w:val="single" w:color="auto" w:sz="4" w:space="0"/>
              <w:left w:val="single" w:color="auto" w:sz="4" w:space="0"/>
              <w:bottom w:val="single" w:color="auto" w:sz="4" w:space="0"/>
              <w:right w:val="single" w:color="auto" w:sz="4" w:space="0"/>
            </w:tcBorders>
            <w:noWrap w:val="0"/>
            <w:vAlign w:val="center"/>
          </w:tcPr>
          <w:p w14:paraId="22851EDE">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1、项目负责人</w:t>
            </w:r>
            <w:r>
              <w:rPr>
                <w:rFonts w:hint="eastAsia" w:ascii="宋体" w:hAnsi="宋体" w:cs="宋体"/>
                <w:szCs w:val="21"/>
                <w:highlight w:val="none"/>
                <w:lang w:val="en-US" w:eastAsia="zh-CN"/>
              </w:rPr>
              <w:t>具有水利水电高级工程师及以上职业资格</w:t>
            </w:r>
            <w:r>
              <w:rPr>
                <w:rFonts w:hint="eastAsia" w:ascii="宋体" w:hAnsi="宋体" w:cs="宋体"/>
                <w:szCs w:val="21"/>
                <w:highlight w:val="none"/>
              </w:rPr>
              <w:t>，得2分，不满足</w:t>
            </w:r>
            <w:r>
              <w:rPr>
                <w:rFonts w:hint="eastAsia" w:ascii="宋体" w:hAnsi="宋体" w:cs="宋体"/>
                <w:szCs w:val="21"/>
                <w:highlight w:val="none"/>
                <w:lang w:val="en-US" w:eastAsia="zh-CN"/>
              </w:rPr>
              <w:t>予以废标</w:t>
            </w:r>
            <w:r>
              <w:rPr>
                <w:rFonts w:hint="eastAsia" w:ascii="宋体" w:hAnsi="宋体" w:cs="宋体"/>
                <w:szCs w:val="21"/>
                <w:highlight w:val="none"/>
              </w:rPr>
              <w:t>。</w:t>
            </w:r>
          </w:p>
          <w:p w14:paraId="1F07B9DB">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2、除项目负责人外，项目组成员每增加一名水利相关专业高级工程师得1分，最高得3分，每增加一名注册咨询师（水利水电专业）得1分，最高得3分。</w:t>
            </w:r>
          </w:p>
          <w:p w14:paraId="3BF45561">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（水利相关专业工程师及需为本单位职工，提供社保证明、身份证、相关职称证书的扫描件并加盖公章，否则不得分）</w:t>
            </w:r>
          </w:p>
        </w:tc>
      </w:tr>
      <w:tr w14:paraId="1FF93C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40" w:hRule="atLeast"/>
          <w:jc w:val="center"/>
        </w:trPr>
        <w:tc>
          <w:tcPr>
            <w:tcW w:w="787" w:type="dxa"/>
            <w:vMerge w:val="continue"/>
            <w:tcBorders>
              <w:right w:val="single" w:color="auto" w:sz="4" w:space="0"/>
            </w:tcBorders>
            <w:noWrap w:val="0"/>
            <w:vAlign w:val="center"/>
          </w:tcPr>
          <w:p w14:paraId="6FB3F4D7">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p>
        </w:tc>
        <w:tc>
          <w:tcPr>
            <w:tcW w:w="1049" w:type="dxa"/>
            <w:vMerge w:val="continue"/>
            <w:tcBorders>
              <w:right w:val="single" w:color="auto" w:sz="4" w:space="0"/>
            </w:tcBorders>
            <w:noWrap w:val="0"/>
            <w:vAlign w:val="center"/>
          </w:tcPr>
          <w:p w14:paraId="678B346F">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p>
        </w:tc>
        <w:tc>
          <w:tcPr>
            <w:tcW w:w="1275" w:type="dxa"/>
            <w:tcBorders>
              <w:top w:val="single" w:color="auto" w:sz="4" w:space="0"/>
              <w:left w:val="single" w:color="auto" w:sz="4" w:space="0"/>
              <w:right w:val="single" w:color="auto" w:sz="4" w:space="0"/>
            </w:tcBorders>
            <w:noWrap w:val="0"/>
            <w:vAlign w:val="center"/>
          </w:tcPr>
          <w:p w14:paraId="3305A24A">
            <w:pPr>
              <w:pStyle w:val="6"/>
              <w:keepNext w:val="0"/>
              <w:keepLines w:val="0"/>
              <w:pageBreakBefore w:val="0"/>
              <w:kinsoku/>
              <w:overflowPunct/>
              <w:topLinePunct w:val="0"/>
              <w:autoSpaceDE/>
              <w:autoSpaceDN/>
              <w:bidi w:val="0"/>
              <w:adjustRightInd w:val="0"/>
              <w:snapToGrid w:val="0"/>
              <w:spacing w:line="240" w:lineRule="auto"/>
              <w:ind w:left="62" w:right="52"/>
              <w:jc w:val="center"/>
              <w:rPr>
                <w:rFonts w:hint="eastAsia" w:ascii="宋体" w:hAnsi="宋体" w:cs="宋体"/>
                <w:kern w:val="2"/>
                <w:sz w:val="21"/>
                <w:szCs w:val="21"/>
                <w:highlight w:val="none"/>
                <w:lang w:eastAsia="zh-CN"/>
              </w:rPr>
            </w:pPr>
            <w:r>
              <w:rPr>
                <w:rFonts w:hint="eastAsia" w:ascii="宋体" w:hAnsi="宋体"/>
                <w:sz w:val="21"/>
                <w:szCs w:val="21"/>
                <w:highlight w:val="none"/>
                <w:lang w:eastAsia="zh-CN"/>
              </w:rPr>
              <w:t>同类业绩</w:t>
            </w:r>
            <w:r>
              <w:rPr>
                <w:rFonts w:hint="eastAsia" w:ascii="宋体" w:hAnsi="宋体" w:cs="宋体"/>
                <w:kern w:val="2"/>
                <w:sz w:val="21"/>
                <w:szCs w:val="21"/>
                <w:highlight w:val="none"/>
                <w:lang w:eastAsia="zh-CN"/>
              </w:rPr>
              <w:t>（</w:t>
            </w:r>
            <w:r>
              <w:rPr>
                <w:rFonts w:hint="eastAsia" w:ascii="宋体" w:hAnsi="宋体" w:cs="宋体"/>
                <w:kern w:val="2"/>
                <w:sz w:val="21"/>
                <w:szCs w:val="21"/>
                <w:highlight w:val="none"/>
                <w:lang w:val="en-US" w:eastAsia="zh-CN"/>
              </w:rPr>
              <w:t>10</w:t>
            </w:r>
            <w:r>
              <w:rPr>
                <w:rFonts w:hint="eastAsia" w:ascii="宋体" w:hAnsi="宋体" w:cs="宋体"/>
                <w:kern w:val="2"/>
                <w:sz w:val="21"/>
                <w:szCs w:val="21"/>
                <w:highlight w:val="none"/>
                <w:lang w:eastAsia="zh-CN"/>
              </w:rPr>
              <w:t>分）</w:t>
            </w:r>
          </w:p>
        </w:tc>
        <w:tc>
          <w:tcPr>
            <w:tcW w:w="5947" w:type="dxa"/>
            <w:gridSpan w:val="2"/>
            <w:tcBorders>
              <w:top w:val="single" w:color="auto" w:sz="4" w:space="0"/>
              <w:left w:val="single" w:color="auto" w:sz="4" w:space="0"/>
              <w:bottom w:val="single" w:color="auto" w:sz="4" w:space="0"/>
              <w:right w:val="single" w:color="auto" w:sz="4" w:space="0"/>
            </w:tcBorders>
            <w:noWrap w:val="0"/>
            <w:vAlign w:val="center"/>
          </w:tcPr>
          <w:p w14:paraId="28F4F9CE">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近五年来供应商承接水库工程类可行性研究报告编制业绩，每有一项同类业绩得2.5分，最多得10分。</w:t>
            </w:r>
          </w:p>
          <w:p w14:paraId="64303902">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注：近五年日期指从 2021 年1月起算，时间以合同签订时间为准，提供签订合同原件扫描件，未提供不得分。</w:t>
            </w:r>
          </w:p>
        </w:tc>
      </w:tr>
      <w:tr w14:paraId="37FFC9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3" w:hRule="atLeast"/>
          <w:jc w:val="center"/>
        </w:trPr>
        <w:tc>
          <w:tcPr>
            <w:tcW w:w="787" w:type="dxa"/>
            <w:vMerge w:val="continue"/>
            <w:tcBorders>
              <w:right w:val="single" w:color="auto" w:sz="4" w:space="0"/>
            </w:tcBorders>
            <w:noWrap w:val="0"/>
            <w:vAlign w:val="center"/>
          </w:tcPr>
          <w:p w14:paraId="708607C5">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p>
        </w:tc>
        <w:tc>
          <w:tcPr>
            <w:tcW w:w="1049" w:type="dxa"/>
            <w:vMerge w:val="continue"/>
            <w:tcBorders>
              <w:right w:val="single" w:color="auto" w:sz="4" w:space="0"/>
            </w:tcBorders>
            <w:noWrap w:val="0"/>
            <w:vAlign w:val="center"/>
          </w:tcPr>
          <w:p w14:paraId="02CFAE67">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p>
        </w:tc>
        <w:tc>
          <w:tcPr>
            <w:tcW w:w="1275" w:type="dxa"/>
            <w:tcBorders>
              <w:top w:val="single" w:color="auto" w:sz="4" w:space="0"/>
              <w:left w:val="single" w:color="auto" w:sz="4" w:space="0"/>
              <w:right w:val="single" w:color="auto" w:sz="4" w:space="0"/>
            </w:tcBorders>
            <w:noWrap w:val="0"/>
            <w:vAlign w:val="center"/>
          </w:tcPr>
          <w:p w14:paraId="78C665DF">
            <w:pPr>
              <w:pStyle w:val="6"/>
              <w:keepNext w:val="0"/>
              <w:keepLines w:val="0"/>
              <w:pageBreakBefore w:val="0"/>
              <w:kinsoku/>
              <w:overflowPunct/>
              <w:topLinePunct w:val="0"/>
              <w:autoSpaceDE/>
              <w:autoSpaceDN/>
              <w:bidi w:val="0"/>
              <w:adjustRightInd w:val="0"/>
              <w:snapToGrid w:val="0"/>
              <w:spacing w:line="240" w:lineRule="auto"/>
              <w:ind w:left="63" w:right="50"/>
              <w:jc w:val="center"/>
              <w:rPr>
                <w:rFonts w:hint="eastAsia" w:ascii="宋体" w:hAnsi="宋体" w:cs="宋体"/>
                <w:sz w:val="21"/>
                <w:szCs w:val="21"/>
                <w:highlight w:val="none"/>
                <w:lang w:eastAsia="zh-CN"/>
              </w:rPr>
            </w:pPr>
            <w:r>
              <w:rPr>
                <w:rFonts w:hint="eastAsia" w:ascii="宋体" w:hAnsi="宋体" w:cs="宋体"/>
                <w:sz w:val="21"/>
                <w:szCs w:val="21"/>
                <w:highlight w:val="none"/>
                <w:lang w:val="en-US" w:eastAsia="zh-CN"/>
              </w:rPr>
              <w:t>企业实力</w:t>
            </w:r>
            <w:r>
              <w:rPr>
                <w:rFonts w:hint="eastAsia" w:ascii="宋体" w:hAnsi="宋体" w:cs="宋体"/>
                <w:sz w:val="21"/>
                <w:szCs w:val="21"/>
                <w:highlight w:val="none"/>
                <w:lang w:eastAsia="zh-CN"/>
              </w:rPr>
              <w:t xml:space="preserve"> </w:t>
            </w:r>
          </w:p>
          <w:p w14:paraId="34F26450">
            <w:pPr>
              <w:pStyle w:val="6"/>
              <w:keepNext w:val="0"/>
              <w:keepLines w:val="0"/>
              <w:pageBreakBefore w:val="0"/>
              <w:kinsoku/>
              <w:overflowPunct/>
              <w:topLinePunct w:val="0"/>
              <w:autoSpaceDE/>
              <w:autoSpaceDN/>
              <w:bidi w:val="0"/>
              <w:adjustRightInd w:val="0"/>
              <w:snapToGrid w:val="0"/>
              <w:spacing w:line="240" w:lineRule="auto"/>
              <w:ind w:left="63" w:right="50"/>
              <w:jc w:val="center"/>
              <w:rPr>
                <w:rFonts w:hint="eastAsia" w:ascii="宋体" w:hAnsi="宋体" w:cs="宋体"/>
                <w:sz w:val="21"/>
                <w:szCs w:val="21"/>
                <w:highlight w:val="none"/>
                <w:lang w:eastAsia="zh-CN"/>
              </w:rPr>
            </w:pP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2</w:t>
            </w:r>
            <w:r>
              <w:rPr>
                <w:rFonts w:hint="eastAsia" w:ascii="宋体" w:hAnsi="宋体" w:cs="宋体"/>
                <w:sz w:val="21"/>
                <w:szCs w:val="21"/>
                <w:highlight w:val="none"/>
                <w:lang w:eastAsia="zh-CN"/>
              </w:rPr>
              <w:t>分）</w:t>
            </w:r>
          </w:p>
        </w:tc>
        <w:tc>
          <w:tcPr>
            <w:tcW w:w="5947" w:type="dxa"/>
            <w:gridSpan w:val="2"/>
            <w:tcBorders>
              <w:top w:val="single" w:color="auto" w:sz="4" w:space="0"/>
              <w:left w:val="single" w:color="auto" w:sz="4" w:space="0"/>
              <w:right w:val="single" w:color="auto" w:sz="4" w:space="0"/>
            </w:tcBorders>
            <w:noWrap w:val="0"/>
            <w:vAlign w:val="center"/>
          </w:tcPr>
          <w:p w14:paraId="380D5221">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szCs w:val="21"/>
                <w:highlight w:val="none"/>
              </w:rPr>
            </w:pPr>
            <w:r>
              <w:rPr>
                <w:rFonts w:hint="eastAsia" w:ascii="宋体" w:hAnsi="宋体" w:eastAsia="宋体" w:cs="宋体"/>
                <w:szCs w:val="21"/>
                <w:highlight w:val="none"/>
                <w:lang w:val="en-US" w:eastAsia="zh-CN"/>
              </w:rPr>
              <w:t>具有质量管理体系认证证书得</w:t>
            </w:r>
            <w:r>
              <w:rPr>
                <w:rFonts w:hint="eastAsia" w:ascii="宋体" w:hAnsi="宋体" w:cs="宋体"/>
                <w:szCs w:val="21"/>
                <w:highlight w:val="none"/>
                <w:lang w:val="en-US" w:eastAsia="zh-CN"/>
              </w:rPr>
              <w:t>2</w:t>
            </w:r>
            <w:r>
              <w:rPr>
                <w:rFonts w:hint="eastAsia" w:ascii="宋体" w:hAnsi="宋体" w:eastAsia="宋体" w:cs="宋体"/>
                <w:szCs w:val="21"/>
                <w:highlight w:val="none"/>
                <w:lang w:val="en-US" w:eastAsia="zh-CN"/>
              </w:rPr>
              <w:t xml:space="preserve">分，满分 </w:t>
            </w:r>
            <w:r>
              <w:rPr>
                <w:rFonts w:hint="eastAsia" w:ascii="宋体" w:hAnsi="宋体" w:cs="宋体"/>
                <w:szCs w:val="21"/>
                <w:highlight w:val="none"/>
                <w:lang w:val="en-US" w:eastAsia="zh-CN"/>
              </w:rPr>
              <w:t>2</w:t>
            </w:r>
            <w:r>
              <w:rPr>
                <w:rFonts w:hint="eastAsia" w:ascii="宋体" w:hAnsi="宋体" w:eastAsia="宋体" w:cs="宋体"/>
                <w:szCs w:val="21"/>
                <w:highlight w:val="none"/>
                <w:lang w:val="en-US" w:eastAsia="zh-CN"/>
              </w:rPr>
              <w:t>分。（以原件扫描件为准，否则不得分）</w:t>
            </w:r>
          </w:p>
        </w:tc>
      </w:tr>
      <w:tr w14:paraId="5354A1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80" w:hRule="atLeast"/>
          <w:jc w:val="center"/>
        </w:trPr>
        <w:tc>
          <w:tcPr>
            <w:tcW w:w="787" w:type="dxa"/>
            <w:vMerge w:val="restart"/>
            <w:tcBorders>
              <w:top w:val="single" w:color="auto" w:sz="4" w:space="0"/>
              <w:left w:val="single" w:color="auto" w:sz="4" w:space="0"/>
              <w:right w:val="single" w:color="auto" w:sz="4" w:space="0"/>
            </w:tcBorders>
            <w:noWrap w:val="0"/>
            <w:vAlign w:val="center"/>
          </w:tcPr>
          <w:p w14:paraId="60708EEC">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r>
              <w:rPr>
                <w:rFonts w:hint="eastAsia" w:ascii="宋体" w:hAnsi="宋体" w:cs="宋体"/>
              </w:rPr>
              <w:t>2.2.</w:t>
            </w:r>
            <w:r>
              <w:rPr>
                <w:rFonts w:hint="eastAsia" w:ascii="宋体" w:hAnsi="宋体" w:cs="宋体"/>
                <w:lang w:val="en-US" w:eastAsia="zh-CN"/>
              </w:rPr>
              <w:t>2</w:t>
            </w:r>
            <w:r>
              <w:rPr>
                <w:rFonts w:hint="eastAsia" w:ascii="宋体" w:hAnsi="宋体" w:cs="宋体"/>
              </w:rPr>
              <w:t>（3）</w:t>
            </w:r>
          </w:p>
        </w:tc>
        <w:tc>
          <w:tcPr>
            <w:tcW w:w="1049" w:type="dxa"/>
            <w:vMerge w:val="restart"/>
            <w:tcBorders>
              <w:top w:val="single" w:color="auto" w:sz="4" w:space="0"/>
              <w:left w:val="single" w:color="auto" w:sz="4" w:space="0"/>
              <w:right w:val="single" w:color="auto" w:sz="4" w:space="0"/>
            </w:tcBorders>
            <w:noWrap w:val="0"/>
            <w:vAlign w:val="center"/>
          </w:tcPr>
          <w:p w14:paraId="1AAF9F9B">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highlight w:val="none"/>
              </w:rPr>
            </w:pPr>
            <w:r>
              <w:rPr>
                <w:rFonts w:hint="eastAsia" w:ascii="宋体" w:hAnsi="宋体" w:cs="宋体"/>
                <w:highlight w:val="none"/>
              </w:rPr>
              <w:t>技术部分评审（</w:t>
            </w:r>
            <w:r>
              <w:rPr>
                <w:rFonts w:hint="eastAsia" w:ascii="宋体" w:hAnsi="宋体" w:cs="宋体"/>
                <w:highlight w:val="none"/>
                <w:lang w:val="en-US" w:eastAsia="zh-CN"/>
              </w:rPr>
              <w:t>60</w:t>
            </w:r>
            <w:r>
              <w:rPr>
                <w:rFonts w:hint="eastAsia" w:ascii="宋体" w:hAnsi="宋体" w:cs="宋体"/>
                <w:highlight w:val="none"/>
              </w:rPr>
              <w:t>分）</w:t>
            </w:r>
          </w:p>
        </w:tc>
        <w:tc>
          <w:tcPr>
            <w:tcW w:w="1283" w:type="dxa"/>
            <w:gridSpan w:val="2"/>
            <w:tcBorders>
              <w:top w:val="single" w:color="auto" w:sz="4" w:space="0"/>
              <w:left w:val="single" w:color="auto" w:sz="4" w:space="0"/>
              <w:bottom w:val="single" w:color="auto" w:sz="4" w:space="0"/>
              <w:right w:val="single" w:color="auto" w:sz="4" w:space="0"/>
            </w:tcBorders>
            <w:noWrap w:val="0"/>
            <w:vAlign w:val="center"/>
          </w:tcPr>
          <w:p w14:paraId="75DA32E5">
            <w:pPr>
              <w:pStyle w:val="6"/>
              <w:keepNext w:val="0"/>
              <w:keepLines w:val="0"/>
              <w:pageBreakBefore w:val="0"/>
              <w:kinsoku/>
              <w:overflowPunct/>
              <w:topLinePunct w:val="0"/>
              <w:autoSpaceDE/>
              <w:autoSpaceDN/>
              <w:bidi w:val="0"/>
              <w:adjustRightInd w:val="0"/>
              <w:snapToGrid w:val="0"/>
              <w:spacing w:line="240" w:lineRule="auto"/>
              <w:ind w:left="63" w:right="5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对本项目的认知及现状分析</w:t>
            </w:r>
            <w:r>
              <w:rPr>
                <w:rFonts w:hint="eastAsia" w:ascii="宋体" w:hAnsi="宋体" w:cs="宋体"/>
                <w:highlight w:val="none"/>
              </w:rPr>
              <w:t>（</w:t>
            </w:r>
            <w:r>
              <w:rPr>
                <w:rFonts w:hint="eastAsia" w:ascii="宋体" w:hAnsi="宋体" w:cs="宋体"/>
                <w:highlight w:val="none"/>
                <w:lang w:val="en-US" w:eastAsia="zh-CN"/>
              </w:rPr>
              <w:t>20</w:t>
            </w:r>
            <w:r>
              <w:rPr>
                <w:rFonts w:hint="eastAsia" w:ascii="宋体" w:hAnsi="宋体" w:cs="宋体"/>
                <w:highlight w:val="none"/>
              </w:rPr>
              <w:t>分）</w:t>
            </w:r>
            <w:r>
              <w:rPr>
                <w:rFonts w:hint="eastAsia" w:ascii="宋体" w:hAnsi="宋体" w:eastAsia="宋体" w:cs="宋体"/>
                <w:sz w:val="21"/>
                <w:szCs w:val="21"/>
                <w:highlight w:val="none"/>
                <w:lang w:val="en-US" w:eastAsia="zh-CN"/>
              </w:rPr>
              <w:t xml:space="preserve">  </w:t>
            </w:r>
          </w:p>
        </w:tc>
        <w:tc>
          <w:tcPr>
            <w:tcW w:w="5939" w:type="dxa"/>
            <w:tcBorders>
              <w:top w:val="single" w:color="auto" w:sz="4" w:space="0"/>
              <w:left w:val="single" w:color="auto" w:sz="4" w:space="0"/>
              <w:bottom w:val="single" w:color="auto" w:sz="4" w:space="0"/>
              <w:right w:val="single" w:color="auto" w:sz="4" w:space="0"/>
            </w:tcBorders>
            <w:noWrap w:val="0"/>
            <w:vAlign w:val="center"/>
          </w:tcPr>
          <w:p w14:paraId="7CE4BA47">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针对供应商对本次项目的理解情况、策划实施思路及对重点和难点进行分析和提供解决思路进行评审</w:t>
            </w:r>
          </w:p>
          <w:p w14:paraId="2C169B79">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1、对本项目详细分析、理解透彻，重点、难点判断准确、描述清楚，思路清晰、可行性高，得 </w:t>
            </w:r>
            <w:r>
              <w:rPr>
                <w:rFonts w:hint="eastAsia" w:ascii="宋体" w:hAnsi="宋体" w:cs="宋体"/>
                <w:szCs w:val="21"/>
                <w:highlight w:val="none"/>
                <w:lang w:val="en-US" w:eastAsia="zh-CN"/>
              </w:rPr>
              <w:t>20</w:t>
            </w:r>
            <w:r>
              <w:rPr>
                <w:rFonts w:hint="eastAsia" w:ascii="宋体" w:hAnsi="宋体" w:eastAsia="宋体" w:cs="宋体"/>
                <w:szCs w:val="21"/>
                <w:highlight w:val="none"/>
                <w:lang w:val="en-US" w:eastAsia="zh-CN"/>
              </w:rPr>
              <w:t>分；</w:t>
            </w:r>
          </w:p>
          <w:p w14:paraId="348A25C8">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2、对本项目进行分析，重点、难点有一定理解和阐述，思路较为完整，得 10 分；</w:t>
            </w:r>
          </w:p>
          <w:p w14:paraId="1CAA7DE2">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3、对本项目具备初步分析、理解，思路可行性可靠性较一般，得 5 分；</w:t>
            </w:r>
          </w:p>
        </w:tc>
      </w:tr>
      <w:tr w14:paraId="566E7E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80" w:hRule="atLeast"/>
          <w:jc w:val="center"/>
        </w:trPr>
        <w:tc>
          <w:tcPr>
            <w:tcW w:w="787" w:type="dxa"/>
            <w:vMerge w:val="continue"/>
            <w:tcBorders>
              <w:left w:val="single" w:color="auto" w:sz="4" w:space="0"/>
              <w:right w:val="single" w:color="auto" w:sz="4" w:space="0"/>
            </w:tcBorders>
            <w:noWrap w:val="0"/>
            <w:vAlign w:val="center"/>
          </w:tcPr>
          <w:p w14:paraId="3F9120B9">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p>
        </w:tc>
        <w:tc>
          <w:tcPr>
            <w:tcW w:w="1049" w:type="dxa"/>
            <w:vMerge w:val="continue"/>
            <w:tcBorders>
              <w:left w:val="single" w:color="auto" w:sz="4" w:space="0"/>
              <w:right w:val="single" w:color="auto" w:sz="4" w:space="0"/>
            </w:tcBorders>
            <w:noWrap w:val="0"/>
            <w:vAlign w:val="center"/>
          </w:tcPr>
          <w:p w14:paraId="34E47FBD">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highlight w:val="none"/>
              </w:rPr>
            </w:pPr>
          </w:p>
        </w:tc>
        <w:tc>
          <w:tcPr>
            <w:tcW w:w="1283" w:type="dxa"/>
            <w:gridSpan w:val="2"/>
            <w:tcBorders>
              <w:top w:val="single" w:color="auto" w:sz="4" w:space="0"/>
              <w:left w:val="single" w:color="auto" w:sz="4" w:space="0"/>
              <w:bottom w:val="single" w:color="auto" w:sz="4" w:space="0"/>
              <w:right w:val="single" w:color="auto" w:sz="4" w:space="0"/>
            </w:tcBorders>
            <w:noWrap w:val="0"/>
            <w:vAlign w:val="center"/>
          </w:tcPr>
          <w:p w14:paraId="6117BB4A">
            <w:pPr>
              <w:pStyle w:val="6"/>
              <w:keepNext w:val="0"/>
              <w:keepLines w:val="0"/>
              <w:pageBreakBefore w:val="0"/>
              <w:kinsoku/>
              <w:overflowPunct/>
              <w:topLinePunct w:val="0"/>
              <w:autoSpaceDE/>
              <w:autoSpaceDN/>
              <w:bidi w:val="0"/>
              <w:adjustRightInd w:val="0"/>
              <w:snapToGrid w:val="0"/>
              <w:spacing w:line="240" w:lineRule="auto"/>
              <w:ind w:left="63" w:right="50"/>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可行性研究报告</w:t>
            </w:r>
            <w:r>
              <w:rPr>
                <w:rFonts w:hint="eastAsia" w:ascii="宋体" w:hAnsi="宋体" w:eastAsia="宋体" w:cs="宋体"/>
                <w:sz w:val="21"/>
                <w:szCs w:val="21"/>
                <w:highlight w:val="none"/>
                <w:lang w:val="en-US" w:eastAsia="zh-CN"/>
              </w:rPr>
              <w:t>编制、技术服务方案</w:t>
            </w:r>
          </w:p>
          <w:p w14:paraId="52AB4EB6">
            <w:pPr>
              <w:pStyle w:val="6"/>
              <w:keepNext w:val="0"/>
              <w:keepLines w:val="0"/>
              <w:pageBreakBefore w:val="0"/>
              <w:kinsoku/>
              <w:overflowPunct/>
              <w:topLinePunct w:val="0"/>
              <w:autoSpaceDE/>
              <w:autoSpaceDN/>
              <w:bidi w:val="0"/>
              <w:adjustRightInd w:val="0"/>
              <w:snapToGrid w:val="0"/>
              <w:spacing w:line="240" w:lineRule="auto"/>
              <w:ind w:left="63" w:right="50"/>
              <w:jc w:val="center"/>
              <w:rPr>
                <w:rFonts w:hint="eastAsia" w:ascii="宋体" w:hAnsi="宋体" w:eastAsia="宋体" w:cs="宋体"/>
                <w:sz w:val="21"/>
                <w:szCs w:val="21"/>
                <w:highlight w:val="none"/>
                <w:lang w:val="en-US" w:eastAsia="zh-CN"/>
              </w:rPr>
            </w:pPr>
            <w:r>
              <w:rPr>
                <w:rFonts w:hint="eastAsia" w:ascii="宋体" w:hAnsi="宋体" w:cs="宋体"/>
                <w:highlight w:val="none"/>
              </w:rPr>
              <w:t>（</w:t>
            </w:r>
            <w:r>
              <w:rPr>
                <w:rFonts w:hint="eastAsia" w:ascii="宋体" w:hAnsi="宋体" w:cs="宋体"/>
                <w:highlight w:val="none"/>
                <w:lang w:val="en-US" w:eastAsia="zh-CN"/>
              </w:rPr>
              <w:t>30</w:t>
            </w:r>
            <w:r>
              <w:rPr>
                <w:rFonts w:hint="eastAsia" w:ascii="宋体" w:hAnsi="宋体" w:cs="宋体"/>
                <w:highlight w:val="none"/>
              </w:rPr>
              <w:t>分）</w:t>
            </w:r>
            <w:r>
              <w:rPr>
                <w:rFonts w:hint="eastAsia" w:ascii="宋体" w:hAnsi="宋体" w:eastAsia="宋体" w:cs="宋体"/>
                <w:sz w:val="21"/>
                <w:szCs w:val="21"/>
                <w:highlight w:val="none"/>
                <w:lang w:val="en-US" w:eastAsia="zh-CN"/>
              </w:rPr>
              <w:t xml:space="preserve"> </w:t>
            </w:r>
          </w:p>
        </w:tc>
        <w:tc>
          <w:tcPr>
            <w:tcW w:w="5939" w:type="dxa"/>
            <w:tcBorders>
              <w:top w:val="single" w:color="auto" w:sz="4" w:space="0"/>
              <w:left w:val="single" w:color="auto" w:sz="4" w:space="0"/>
              <w:bottom w:val="single" w:color="auto" w:sz="4" w:space="0"/>
              <w:right w:val="single" w:color="auto" w:sz="4" w:space="0"/>
            </w:tcBorders>
            <w:noWrap w:val="0"/>
            <w:vAlign w:val="center"/>
          </w:tcPr>
          <w:p w14:paraId="512B4144">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对供应商</w:t>
            </w:r>
            <w:r>
              <w:rPr>
                <w:rFonts w:hint="eastAsia" w:ascii="宋体" w:hAnsi="宋体" w:cs="宋体"/>
                <w:sz w:val="21"/>
                <w:szCs w:val="21"/>
                <w:highlight w:val="none"/>
                <w:lang w:val="en-US" w:eastAsia="zh-CN"/>
              </w:rPr>
              <w:t>可行性研究报告</w:t>
            </w:r>
            <w:r>
              <w:rPr>
                <w:rFonts w:hint="eastAsia" w:ascii="宋体" w:hAnsi="宋体" w:eastAsia="宋体" w:cs="宋体"/>
                <w:szCs w:val="21"/>
                <w:highlight w:val="none"/>
                <w:lang w:val="en-US" w:eastAsia="zh-CN"/>
              </w:rPr>
              <w:t>编制、技术服务方案进行评审：</w:t>
            </w:r>
          </w:p>
          <w:p w14:paraId="2F64BA83">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根据对本项目的理解，服务方案的全面、完善、合理性，工作计划中的工序组织、质量管理及效率管理等进行打分：</w:t>
            </w:r>
          </w:p>
          <w:p w14:paraId="4A21E8E1">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总体方案切实可行，得 </w:t>
            </w:r>
            <w:r>
              <w:rPr>
                <w:rFonts w:hint="eastAsia" w:ascii="宋体" w:hAnsi="宋体" w:cs="宋体"/>
                <w:szCs w:val="21"/>
                <w:highlight w:val="none"/>
                <w:lang w:val="en-US" w:eastAsia="zh-CN"/>
              </w:rPr>
              <w:t>30</w:t>
            </w:r>
            <w:r>
              <w:rPr>
                <w:rFonts w:hint="eastAsia" w:ascii="宋体" w:hAnsi="宋体" w:eastAsia="宋体" w:cs="宋体"/>
                <w:szCs w:val="21"/>
                <w:highlight w:val="none"/>
                <w:lang w:val="en-US" w:eastAsia="zh-CN"/>
              </w:rPr>
              <w:t>分；</w:t>
            </w:r>
          </w:p>
          <w:p w14:paraId="23878187">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总体方案较为切合实际，得 </w:t>
            </w:r>
            <w:r>
              <w:rPr>
                <w:rFonts w:hint="eastAsia" w:ascii="宋体" w:hAnsi="宋体" w:cs="宋体"/>
                <w:szCs w:val="21"/>
                <w:highlight w:val="none"/>
                <w:lang w:val="en-US" w:eastAsia="zh-CN"/>
              </w:rPr>
              <w:t>20</w:t>
            </w:r>
            <w:r>
              <w:rPr>
                <w:rFonts w:hint="eastAsia" w:ascii="宋体" w:hAnsi="宋体" w:eastAsia="宋体" w:cs="宋体"/>
                <w:szCs w:val="21"/>
                <w:highlight w:val="none"/>
                <w:lang w:val="en-US" w:eastAsia="zh-CN"/>
              </w:rPr>
              <w:t>分；</w:t>
            </w:r>
          </w:p>
          <w:p w14:paraId="47140E62">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总体方案一般，得 10 分。</w:t>
            </w:r>
          </w:p>
        </w:tc>
      </w:tr>
      <w:tr w14:paraId="4F186E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80" w:hRule="atLeast"/>
          <w:jc w:val="center"/>
        </w:trPr>
        <w:tc>
          <w:tcPr>
            <w:tcW w:w="787" w:type="dxa"/>
            <w:vMerge w:val="continue"/>
            <w:tcBorders>
              <w:left w:val="single" w:color="auto" w:sz="4" w:space="0"/>
              <w:right w:val="single" w:color="auto" w:sz="4" w:space="0"/>
            </w:tcBorders>
            <w:noWrap w:val="0"/>
            <w:vAlign w:val="center"/>
          </w:tcPr>
          <w:p w14:paraId="1770AC51">
            <w:pPr>
              <w:keepNext w:val="0"/>
              <w:keepLines w:val="0"/>
              <w:pageBreakBefore w:val="0"/>
              <w:kinsoku/>
              <w:overflowPunct/>
              <w:topLinePunct w:val="0"/>
              <w:autoSpaceDE/>
              <w:autoSpaceDN/>
              <w:bidi w:val="0"/>
              <w:adjustRightInd w:val="0"/>
              <w:snapToGrid w:val="0"/>
              <w:spacing w:line="240" w:lineRule="auto"/>
              <w:jc w:val="center"/>
              <w:rPr>
                <w:rFonts w:hint="eastAsia" w:ascii="宋体" w:hAnsi="宋体" w:cs="宋体"/>
              </w:rPr>
            </w:pPr>
          </w:p>
        </w:tc>
        <w:tc>
          <w:tcPr>
            <w:tcW w:w="1049" w:type="dxa"/>
            <w:vMerge w:val="continue"/>
            <w:tcBorders>
              <w:left w:val="single" w:color="auto" w:sz="4" w:space="0"/>
              <w:right w:val="single" w:color="auto" w:sz="4" w:space="0"/>
            </w:tcBorders>
            <w:noWrap w:val="0"/>
            <w:vAlign w:val="center"/>
          </w:tcPr>
          <w:p w14:paraId="09055E1D">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cs="宋体"/>
                <w:highlight w:val="none"/>
              </w:rPr>
            </w:pPr>
          </w:p>
        </w:tc>
        <w:tc>
          <w:tcPr>
            <w:tcW w:w="1283" w:type="dxa"/>
            <w:gridSpan w:val="2"/>
            <w:tcBorders>
              <w:top w:val="single" w:color="auto" w:sz="4" w:space="0"/>
              <w:left w:val="single" w:color="auto" w:sz="4" w:space="0"/>
              <w:bottom w:val="single" w:color="auto" w:sz="4" w:space="0"/>
              <w:right w:val="single" w:color="auto" w:sz="4" w:space="0"/>
            </w:tcBorders>
            <w:noWrap w:val="0"/>
            <w:vAlign w:val="center"/>
          </w:tcPr>
          <w:p w14:paraId="158C71CD">
            <w:pPr>
              <w:pStyle w:val="6"/>
              <w:keepNext w:val="0"/>
              <w:keepLines w:val="0"/>
              <w:pageBreakBefore w:val="0"/>
              <w:kinsoku/>
              <w:overflowPunct/>
              <w:topLinePunct w:val="0"/>
              <w:autoSpaceDE/>
              <w:autoSpaceDN/>
              <w:bidi w:val="0"/>
              <w:adjustRightInd w:val="0"/>
              <w:snapToGrid w:val="0"/>
              <w:spacing w:line="240" w:lineRule="auto"/>
              <w:ind w:left="63" w:right="5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进度</w:t>
            </w:r>
            <w:r>
              <w:rPr>
                <w:rFonts w:hint="eastAsia" w:ascii="宋体" w:hAnsi="宋体" w:cs="宋体"/>
                <w:sz w:val="21"/>
                <w:szCs w:val="21"/>
                <w:highlight w:val="none"/>
                <w:lang w:val="en-US" w:eastAsia="zh-CN"/>
              </w:rPr>
              <w:t>和质量</w:t>
            </w:r>
            <w:r>
              <w:rPr>
                <w:rFonts w:hint="eastAsia" w:ascii="宋体" w:hAnsi="宋体" w:eastAsia="宋体" w:cs="宋体"/>
                <w:sz w:val="21"/>
                <w:szCs w:val="21"/>
                <w:highlight w:val="none"/>
                <w:lang w:val="en-US" w:eastAsia="zh-CN"/>
              </w:rPr>
              <w:t xml:space="preserve">保证措施 </w:t>
            </w:r>
          </w:p>
          <w:p w14:paraId="5A4BA2CA">
            <w:pPr>
              <w:pStyle w:val="6"/>
              <w:keepNext w:val="0"/>
              <w:keepLines w:val="0"/>
              <w:pageBreakBefore w:val="0"/>
              <w:kinsoku/>
              <w:overflowPunct/>
              <w:topLinePunct w:val="0"/>
              <w:autoSpaceDE/>
              <w:autoSpaceDN/>
              <w:bidi w:val="0"/>
              <w:adjustRightInd w:val="0"/>
              <w:snapToGrid w:val="0"/>
              <w:spacing w:line="240" w:lineRule="auto"/>
              <w:ind w:left="63" w:right="50"/>
              <w:jc w:val="center"/>
              <w:rPr>
                <w:rFonts w:hint="eastAsia" w:ascii="宋体" w:hAnsi="宋体" w:eastAsia="宋体" w:cs="宋体"/>
                <w:sz w:val="21"/>
                <w:szCs w:val="21"/>
                <w:highlight w:val="none"/>
                <w:lang w:val="en-US" w:eastAsia="zh-CN"/>
              </w:rPr>
            </w:pPr>
            <w:r>
              <w:rPr>
                <w:rFonts w:hint="eastAsia" w:ascii="宋体" w:hAnsi="宋体" w:cs="宋体"/>
                <w:highlight w:val="none"/>
              </w:rPr>
              <w:t>（10分）</w:t>
            </w:r>
          </w:p>
        </w:tc>
        <w:tc>
          <w:tcPr>
            <w:tcW w:w="5939" w:type="dxa"/>
            <w:tcBorders>
              <w:top w:val="single" w:color="auto" w:sz="4" w:space="0"/>
              <w:left w:val="single" w:color="auto" w:sz="4" w:space="0"/>
              <w:bottom w:val="single" w:color="auto" w:sz="4" w:space="0"/>
              <w:right w:val="single" w:color="auto" w:sz="4" w:space="0"/>
            </w:tcBorders>
            <w:noWrap w:val="0"/>
            <w:vAlign w:val="center"/>
          </w:tcPr>
          <w:p w14:paraId="2A226745">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对供应商进度</w:t>
            </w:r>
            <w:r>
              <w:rPr>
                <w:rFonts w:hint="eastAsia" w:ascii="宋体" w:hAnsi="宋体" w:cs="宋体"/>
                <w:szCs w:val="21"/>
                <w:highlight w:val="none"/>
                <w:lang w:val="en-US" w:eastAsia="zh-CN"/>
              </w:rPr>
              <w:t>和质量</w:t>
            </w:r>
            <w:r>
              <w:rPr>
                <w:rFonts w:hint="eastAsia" w:ascii="宋体" w:hAnsi="宋体" w:eastAsia="宋体" w:cs="宋体"/>
                <w:szCs w:val="21"/>
                <w:highlight w:val="none"/>
                <w:lang w:val="en-US" w:eastAsia="zh-CN"/>
              </w:rPr>
              <w:t>保证措施进行评审：</w:t>
            </w:r>
          </w:p>
          <w:p w14:paraId="11C4D12E">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切实可行，针对性强的，得 10 分；</w:t>
            </w:r>
          </w:p>
          <w:p w14:paraId="26BD247E">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较切实可行，针对性较强的，得 8 分；</w:t>
            </w:r>
          </w:p>
          <w:p w14:paraId="079EC56A">
            <w:pPr>
              <w:keepNext w:val="0"/>
              <w:keepLines w:val="0"/>
              <w:pageBreakBefore w:val="0"/>
              <w:kinsoku/>
              <w:overflowPunct/>
              <w:topLinePunct w:val="0"/>
              <w:autoSpaceDE/>
              <w:autoSpaceDN/>
              <w:bidi w:val="0"/>
              <w:adjustRightInd w:val="0"/>
              <w:snapToGrid w:val="0"/>
              <w:spacing w:line="240" w:lineRule="auto"/>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措施一般的，得 6 分。</w:t>
            </w:r>
          </w:p>
        </w:tc>
      </w:tr>
    </w:tbl>
    <w:p w14:paraId="5478DEAF">
      <w:pPr>
        <w:spacing w:line="400" w:lineRule="exact"/>
        <w:outlineLvl w:val="0"/>
        <w:rPr>
          <w:rFonts w:hint="eastAsia" w:ascii="宋体" w:hAnsi="宋体"/>
          <w:b/>
          <w:bCs/>
          <w:spacing w:val="2"/>
          <w:szCs w:val="21"/>
        </w:rPr>
      </w:pPr>
    </w:p>
    <w:p w14:paraId="217A9A8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1. 评审方法</w:t>
      </w:r>
    </w:p>
    <w:p w14:paraId="2BA523FF">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bookmarkStart w:id="0" w:name="_Toc3444031"/>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本次评审采用综合</w:t>
      </w:r>
      <w:r>
        <w:rPr>
          <w:rFonts w:hint="eastAsia" w:ascii="宋体" w:hAnsi="宋体" w:cs="宋体"/>
          <w:i w:val="0"/>
          <w:iCs w:val="0"/>
          <w:caps w:val="0"/>
          <w:color w:val="000000"/>
          <w:spacing w:val="0"/>
          <w:kern w:val="0"/>
          <w:sz w:val="25"/>
          <w:szCs w:val="25"/>
          <w:highlight w:val="none"/>
          <w:shd w:val="clear" w:color="auto" w:fill="auto"/>
          <w:lang w:val="en-US" w:eastAsia="zh-CN" w:bidi="ar"/>
        </w:rPr>
        <w:t>评标</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法。评审委员会对满足</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文件实质性要求的</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申请书，按照第2.2款规定的评分标准进行打分，并按得分由高到低顺序推荐中选候选人，并标明排序；综合评分相等时，以</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报价低的优先；如果</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报价相同时，以技术服务方案评分标准得分高的优先；如果技术服务方案评分标准得分也相等，由评审委员会投票确定。</w:t>
      </w:r>
    </w:p>
    <w:p w14:paraId="7FA915A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2. 评审标准</w:t>
      </w:r>
      <w:bookmarkEnd w:id="0"/>
    </w:p>
    <w:p w14:paraId="5BADAB1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bookmarkStart w:id="1" w:name="_Toc3444032"/>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2.1 初步评审标准</w:t>
      </w:r>
      <w:bookmarkEnd w:id="1"/>
    </w:p>
    <w:p w14:paraId="7F140E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2.1.1 形式评审标准：见评审办法前附表。</w:t>
      </w:r>
    </w:p>
    <w:p w14:paraId="7B725C9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2.1.2 资格评审标准：见评审办法前附表。</w:t>
      </w:r>
    </w:p>
    <w:p w14:paraId="5D219F3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2.1.3 响应性评审标准：见评审办法前附表。</w:t>
      </w:r>
    </w:p>
    <w:p w14:paraId="510001F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bookmarkStart w:id="2" w:name="_Toc3444033"/>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2.2 分值构成与评分标准</w:t>
      </w:r>
      <w:bookmarkEnd w:id="2"/>
    </w:p>
    <w:p w14:paraId="4B3603C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2.2.1 分值构成</w:t>
      </w:r>
    </w:p>
    <w:p w14:paraId="2670A1D6">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（1）</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报价评审：见评审办法前附表；</w:t>
      </w:r>
    </w:p>
    <w:p w14:paraId="4CC55FF2">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（2）商务部分评审：见评审办法前附表；</w:t>
      </w:r>
    </w:p>
    <w:p w14:paraId="72125ED8">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（3）技术部分</w:t>
      </w:r>
      <w:r>
        <w:rPr>
          <w:rFonts w:hint="eastAsia" w:ascii="宋体" w:hAnsi="宋体" w:cs="宋体"/>
          <w:i w:val="0"/>
          <w:iCs w:val="0"/>
          <w:caps w:val="0"/>
          <w:color w:val="000000"/>
          <w:spacing w:val="0"/>
          <w:kern w:val="0"/>
          <w:sz w:val="25"/>
          <w:szCs w:val="25"/>
          <w:highlight w:val="none"/>
          <w:shd w:val="clear" w:color="auto" w:fill="auto"/>
          <w:lang w:val="en-US" w:eastAsia="zh-CN" w:bidi="ar"/>
        </w:rPr>
        <w:t>评审</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：见评审办法前附表；</w:t>
      </w:r>
    </w:p>
    <w:p w14:paraId="6F2C05D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2.2.</w:t>
      </w:r>
      <w:r>
        <w:rPr>
          <w:rFonts w:hint="eastAsia" w:ascii="宋体" w:hAnsi="宋体" w:cs="宋体"/>
          <w:i w:val="0"/>
          <w:iCs w:val="0"/>
          <w:caps w:val="0"/>
          <w:color w:val="000000"/>
          <w:spacing w:val="0"/>
          <w:kern w:val="0"/>
          <w:sz w:val="25"/>
          <w:szCs w:val="25"/>
          <w:highlight w:val="none"/>
          <w:shd w:val="clear" w:color="auto" w:fill="auto"/>
          <w:lang w:val="en-US" w:eastAsia="zh-CN" w:bidi="ar"/>
        </w:rPr>
        <w:t>2</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 xml:space="preserve"> 评分标准</w:t>
      </w:r>
    </w:p>
    <w:p w14:paraId="7AAEA53C">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（1）</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报价评分标准：见评审办法前附表；</w:t>
      </w:r>
    </w:p>
    <w:p w14:paraId="2B8E830D">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（2）商务部分评分标准：见评审办法前附表；</w:t>
      </w:r>
    </w:p>
    <w:p w14:paraId="73E82AD9">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（3）技术部分评分标准：见评审办法前附表。</w:t>
      </w:r>
    </w:p>
    <w:p w14:paraId="1487F0D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bookmarkStart w:id="3" w:name="_Toc3444034"/>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3. 评审程序</w:t>
      </w:r>
      <w:bookmarkEnd w:id="3"/>
    </w:p>
    <w:p w14:paraId="28081CA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bookmarkStart w:id="4" w:name="_Toc3444035"/>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3.1 初步评审</w:t>
      </w:r>
      <w:bookmarkEnd w:id="4"/>
    </w:p>
    <w:p w14:paraId="08536B0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3.1.1 评审委员会可以要求</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申请人提交</w:t>
      </w:r>
      <w:r>
        <w:rPr>
          <w:rFonts w:hint="eastAsia" w:ascii="宋体" w:hAnsi="宋体" w:cs="宋体"/>
          <w:i w:val="0"/>
          <w:iCs w:val="0"/>
          <w:caps w:val="0"/>
          <w:color w:val="000000"/>
          <w:spacing w:val="0"/>
          <w:kern w:val="0"/>
          <w:sz w:val="25"/>
          <w:szCs w:val="25"/>
          <w:highlight w:val="none"/>
          <w:shd w:val="clear" w:color="auto" w:fill="auto"/>
          <w:lang w:val="en-US" w:eastAsia="zh-CN" w:bidi="ar"/>
        </w:rPr>
        <w:t>询价公告</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“六、供应商资格要求”规定的有关证明和证件的原件，以便核验。评审委员会依据第2.1款规定的标准对</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申请书进行初步评审。有一项不符合评审标准的，评审委员会应当否决其</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w:t>
      </w:r>
    </w:p>
    <w:p w14:paraId="3D84663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 xml:space="preserve">3.1.2 </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申请人有以下情形之一的，评审委员会应当否决其</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w:t>
      </w:r>
    </w:p>
    <w:p w14:paraId="6E808567">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（1）</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申请书没有对</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文件的实质性要求和条件作出响应，或者对</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文件的偏差超出</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文件规定的偏差范围或最高项数；</w:t>
      </w:r>
    </w:p>
    <w:p w14:paraId="5727D253">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（2）有串通</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、弄虚作假、行贿等违法行为。</w:t>
      </w:r>
    </w:p>
    <w:p w14:paraId="6160417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 xml:space="preserve">3.1.3 </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报价有算术错误及其他错误的，评审委员会按以下原则要求</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申请人对</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报价进</w:t>
      </w:r>
      <w:bookmarkStart w:id="5" w:name="_Toc247514027"/>
      <w:bookmarkStart w:id="6" w:name="_Toc361508651"/>
      <w:bookmarkStart w:id="7" w:name="_Toc352691538"/>
      <w:bookmarkStart w:id="8" w:name="_Toc300835013"/>
      <w:bookmarkStart w:id="9" w:name="_Toc152042380"/>
      <w:bookmarkStart w:id="10" w:name="_Toc2907"/>
      <w:bookmarkStart w:id="11" w:name="_Toc144974570"/>
      <w:bookmarkStart w:id="12" w:name="_Toc247527628"/>
      <w:bookmarkStart w:id="13" w:name="_Toc384308277"/>
      <w:bookmarkStart w:id="14" w:name="_Toc152045603"/>
      <w:bookmarkStart w:id="15" w:name="_Toc369531582"/>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行修正，并要求</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申请人书面澄清确认。</w:t>
      </w:r>
      <w:bookmarkEnd w:id="5"/>
      <w:bookmarkEnd w:id="6"/>
      <w:bookmarkEnd w:id="7"/>
      <w:bookmarkEnd w:id="8"/>
      <w:bookmarkEnd w:id="9"/>
      <w:bookmarkEnd w:id="10"/>
      <w:bookmarkEnd w:id="11"/>
      <w:bookmarkEnd w:id="12"/>
      <w:bookmarkEnd w:id="13"/>
      <w:bookmarkEnd w:id="14"/>
      <w:bookmarkEnd w:id="15"/>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申请人拒不澄清确认的，评审委员会应当否决其</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w:t>
      </w:r>
    </w:p>
    <w:p w14:paraId="50212D70">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（1）</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申请书中的大写金额与小写金额不一致的，以大写金额为准；</w:t>
      </w:r>
    </w:p>
    <w:p w14:paraId="300B4E18">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（2）总价金额与单价金额不一致的，以单价金额为准，但单价金额小数点有明显错误的除外。</w:t>
      </w:r>
    </w:p>
    <w:p w14:paraId="3B14438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 xml:space="preserve">3.1.4 </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申请人未按</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申请书格式编制</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申请书的。</w:t>
      </w:r>
    </w:p>
    <w:p w14:paraId="2A0F7BA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bookmarkStart w:id="16" w:name="_Toc3444036"/>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3.2 详细评审</w:t>
      </w:r>
      <w:bookmarkEnd w:id="16"/>
    </w:p>
    <w:p w14:paraId="3DC3BBF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3.2.1 评审委员会按第2.2款规定的量化因素和分值进行打分，并计算出综合评估得分。</w:t>
      </w:r>
    </w:p>
    <w:p w14:paraId="41C07A58">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（1）按评审办法规定的</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报价评审标准计算出得分A；</w:t>
      </w:r>
    </w:p>
    <w:p w14:paraId="70DF55CA">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（2）按评审办法规定的商务部分评审标准计算出得分B；</w:t>
      </w:r>
    </w:p>
    <w:p w14:paraId="3B958892">
      <w:pPr>
        <w:keepNext w:val="0"/>
        <w:keepLines w:val="0"/>
        <w:pageBreakBefore w:val="0"/>
        <w:widowControl w:val="0"/>
        <w:kinsoku/>
        <w:wordWrap/>
        <w:overflowPunct/>
        <w:topLinePunct w:val="0"/>
        <w:autoSpaceDE/>
        <w:autoSpaceDN/>
        <w:bidi w:val="0"/>
        <w:adjustRightInd/>
        <w:snapToGrid/>
        <w:spacing w:line="480" w:lineRule="exact"/>
        <w:ind w:firstLine="500" w:firstLineChars="200"/>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（3）按评审办法规定的技术部分评审标准计算出得分C。</w:t>
      </w:r>
    </w:p>
    <w:p w14:paraId="339A1A3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3.2.2 评分分值计算保留小数点后两位，小数点后第三位“四舍五入”。</w:t>
      </w:r>
    </w:p>
    <w:p w14:paraId="19ED267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 xml:space="preserve">3.2.3 </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申请人得分=A+B+C。</w:t>
      </w:r>
    </w:p>
    <w:p w14:paraId="21B0823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3.2.4 评审委员会发现</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申请人的报价明显低于其他</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报价，使得其</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报价可能低于其个别成本的，应当要求该</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申请人作出书面说明并提供相应的证明材料。</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申请人不能合理说明或者不能提供相应证明材料的，评审委员会应当认定该</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申请人以低于成本报价竞标，并否决其</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w:t>
      </w:r>
    </w:p>
    <w:p w14:paraId="7FAA36D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bookmarkStart w:id="17" w:name="_Toc3444037"/>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 xml:space="preserve">3.3 </w:t>
      </w:r>
      <w:r>
        <w:rPr>
          <w:rFonts w:hint="eastAsia" w:ascii="宋体" w:hAnsi="宋体" w:cs="宋体"/>
          <w:b/>
          <w:bCs/>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申请书的澄清</w:t>
      </w:r>
      <w:bookmarkEnd w:id="17"/>
    </w:p>
    <w:p w14:paraId="4CE033B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3.3.1 在评审过程中，评审委员会可以书面形式要求</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申请人对</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申请书中含义不明确、对同类问题表述不一致或者有明显文字和计算错误的内容作必要的澄清、说明或补正。澄清、说明或补正应以书面方式进行。评审委员会不接受</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申请人主动提出的澄清、说明或补正。</w:t>
      </w:r>
    </w:p>
    <w:p w14:paraId="65EFB57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3.3.2 澄清、说明或补正不得超出</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申请书的范围且不得改变</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申请书的实质性内容，并构成</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申请书的组成部分。</w:t>
      </w:r>
    </w:p>
    <w:p w14:paraId="61F0791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3.3.3 评审委员会对</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申请人提交的澄清、说明或补正有疑问的，可以要求</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申请人进一步澄清、说明或补正，直至满足评审委员会的要求。</w:t>
      </w:r>
    </w:p>
    <w:p w14:paraId="1556CE7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pPr>
      <w:bookmarkStart w:id="18" w:name="_Toc3444038"/>
      <w:r>
        <w:rPr>
          <w:rFonts w:hint="eastAsia" w:ascii="宋体" w:hAnsi="宋体" w:eastAsia="宋体" w:cs="宋体"/>
          <w:b/>
          <w:bCs/>
          <w:i w:val="0"/>
          <w:iCs w:val="0"/>
          <w:caps w:val="0"/>
          <w:color w:val="000000"/>
          <w:spacing w:val="0"/>
          <w:kern w:val="0"/>
          <w:sz w:val="25"/>
          <w:szCs w:val="25"/>
          <w:highlight w:val="none"/>
          <w:shd w:val="clear" w:color="auto" w:fill="auto"/>
          <w:lang w:val="en-US" w:eastAsia="zh-CN" w:bidi="ar"/>
        </w:rPr>
        <w:t>3.4 评审结果</w:t>
      </w:r>
      <w:bookmarkEnd w:id="18"/>
    </w:p>
    <w:p w14:paraId="15DB415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3.4.1 评审委员会按照得分由高到低的顺序推荐中标候选人。</w:t>
      </w:r>
    </w:p>
    <w:p w14:paraId="3363DE3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pP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3.4.2 评审委员会完成评审后，应当向</w:t>
      </w:r>
      <w:r>
        <w:rPr>
          <w:rFonts w:hint="eastAsia" w:ascii="宋体" w:hAnsi="宋体" w:cs="宋体"/>
          <w:i w:val="0"/>
          <w:iCs w:val="0"/>
          <w:caps w:val="0"/>
          <w:color w:val="000000"/>
          <w:spacing w:val="0"/>
          <w:kern w:val="0"/>
          <w:sz w:val="25"/>
          <w:szCs w:val="25"/>
          <w:highlight w:val="none"/>
          <w:shd w:val="clear" w:color="auto" w:fill="auto"/>
          <w:lang w:val="en-US" w:eastAsia="zh-CN" w:bidi="ar"/>
        </w:rPr>
        <w:t>询价</w:t>
      </w:r>
      <w:r>
        <w:rPr>
          <w:rFonts w:hint="eastAsia" w:ascii="宋体" w:hAnsi="宋体" w:eastAsia="宋体" w:cs="宋体"/>
          <w:i w:val="0"/>
          <w:iCs w:val="0"/>
          <w:caps w:val="0"/>
          <w:color w:val="000000"/>
          <w:spacing w:val="0"/>
          <w:kern w:val="0"/>
          <w:sz w:val="25"/>
          <w:szCs w:val="25"/>
          <w:highlight w:val="none"/>
          <w:shd w:val="clear" w:color="auto" w:fill="auto"/>
          <w:lang w:val="en-US" w:eastAsia="zh-CN" w:bidi="ar"/>
        </w:rPr>
        <w:t>人提交书面评审报告和中选候选人名单。</w:t>
      </w:r>
    </w:p>
    <w:p w14:paraId="58B76994">
      <w:pPr>
        <w:pStyle w:val="2"/>
        <w:rPr>
          <w:rFonts w:hint="eastAsia" w:ascii="仿宋" w:hAnsi="仿宋" w:eastAsia="仿宋" w:cs="仿宋"/>
          <w:i w:val="0"/>
          <w:iCs w:val="0"/>
          <w:caps w:val="0"/>
          <w:color w:val="000000"/>
          <w:spacing w:val="0"/>
          <w:kern w:val="0"/>
          <w:sz w:val="32"/>
          <w:szCs w:val="32"/>
          <w:highlight w:val="green"/>
          <w:shd w:val="clear" w:color="auto" w:fill="auto"/>
          <w:lang w:val="en-US" w:eastAsia="zh-CN" w:bidi="ar"/>
        </w:rPr>
      </w:pPr>
    </w:p>
    <w:p w14:paraId="6DF6E117"/>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60130B"/>
    <w:rsid w:val="02F44D24"/>
    <w:rsid w:val="058748CD"/>
    <w:rsid w:val="062F567C"/>
    <w:rsid w:val="089C2B44"/>
    <w:rsid w:val="0C77492A"/>
    <w:rsid w:val="0CC63C13"/>
    <w:rsid w:val="1F672A94"/>
    <w:rsid w:val="222E0483"/>
    <w:rsid w:val="2DAF77D3"/>
    <w:rsid w:val="30C22D2D"/>
    <w:rsid w:val="34AD5538"/>
    <w:rsid w:val="3A566466"/>
    <w:rsid w:val="3C862009"/>
    <w:rsid w:val="3ED86AC7"/>
    <w:rsid w:val="3EE04347"/>
    <w:rsid w:val="3EF94B8E"/>
    <w:rsid w:val="42AE0712"/>
    <w:rsid w:val="480B0E8C"/>
    <w:rsid w:val="4960130B"/>
    <w:rsid w:val="5B9018D7"/>
    <w:rsid w:val="5CF521AE"/>
    <w:rsid w:val="5E7A583E"/>
    <w:rsid w:val="5FFD100E"/>
    <w:rsid w:val="608B6E0E"/>
    <w:rsid w:val="617734A3"/>
    <w:rsid w:val="6449399F"/>
    <w:rsid w:val="650C6EA7"/>
    <w:rsid w:val="6A5B3912"/>
    <w:rsid w:val="6EA1365F"/>
    <w:rsid w:val="6F65741B"/>
    <w:rsid w:val="70F27F0A"/>
    <w:rsid w:val="712A1FD7"/>
    <w:rsid w:val="78794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正文（缩进）"/>
    <w:qFormat/>
    <w:uiPriority w:val="0"/>
    <w:pPr>
      <w:widowControl w:val="0"/>
      <w:spacing w:before="50" w:after="50"/>
      <w:ind w:firstLine="200" w:firstLineChars="200"/>
      <w:jc w:val="both"/>
    </w:pPr>
    <w:rPr>
      <w:rFonts w:ascii="Calibri" w:hAnsi="Calibri" w:eastAsia="宋体" w:cs="Times New Roman"/>
      <w:kern w:val="28"/>
      <w:sz w:val="28"/>
      <w:szCs w:val="22"/>
      <w:lang w:val="en-US" w:eastAsia="zh-CN" w:bidi="ar-SA"/>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Table Paragraph"/>
    <w:basedOn w:val="1"/>
    <w:qFormat/>
    <w:uiPriority w:val="0"/>
    <w:pPr>
      <w:jc w:val="left"/>
    </w:pPr>
    <w:rPr>
      <w:rFonts w:ascii="Calibri" w:hAnsi="Calibri"/>
      <w:kern w:val="0"/>
      <w:sz w:val="22"/>
      <w:szCs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2663</Words>
  <Characters>2820</Characters>
  <Lines>0</Lines>
  <Paragraphs>0</Paragraphs>
  <TotalTime>0</TotalTime>
  <ScaleCrop>false</ScaleCrop>
  <LinksUpToDate>false</LinksUpToDate>
  <CharactersWithSpaces>2877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2024-12-25T01:27:00Z</dcterms:created>
  <dc:creator>lenovo</dc:creator>
  <cp:lastModifiedBy>谁记得</cp:lastModifiedBy>
  <dcterms:modified xsi:type="dcterms:W3CDTF">2026-08-08T09:05:01Z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eyJoZGlkIjoiM2E5OGNkNGVlY2FkNTM3ZmE3MmM5NjA3YzhmNjIzOGYiLCJ1c2VySWQiOiI1Njg4MzM4ODcifQ==</vt:lpwstr>
  </property>
  <property fmtid="{D5CDD505-2E9C-101B-9397-08002B2CF9AE}" pid="4" name="ICV">
    <vt:lpwstr>ABF7EB1854F949D383479229FD195B08_13</vt:lpwstr>
  </property>
</Properties>
</file>